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b/>
          <w:color w:val="auto"/>
          <w:w w:val="100"/>
          <w:sz w:val="72"/>
        </w:rPr>
      </w:pPr>
    </w:p>
    <w:p>
      <w:pPr>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b/>
          <w:color w:val="auto"/>
          <w:w w:val="100"/>
          <w:sz w:val="72"/>
        </w:rPr>
      </w:pPr>
    </w:p>
    <w:p>
      <w:pPr>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b/>
          <w:color w:val="auto"/>
          <w:w w:val="100"/>
          <w:sz w:val="72"/>
        </w:rPr>
      </w:pPr>
      <w:r>
        <w:rPr>
          <w:b/>
          <w:color w:val="auto"/>
          <w:w w:val="100"/>
          <w:sz w:val="72"/>
        </w:rPr>
        <w:t>建设项目竣工环境保护</w:t>
      </w:r>
    </w:p>
    <w:p>
      <w:pPr>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b/>
          <w:color w:val="auto"/>
          <w:w w:val="100"/>
          <w:sz w:val="72"/>
        </w:rPr>
      </w:pPr>
      <w:r>
        <w:rPr>
          <w:b/>
          <w:color w:val="auto"/>
          <w:w w:val="100"/>
          <w:sz w:val="72"/>
        </w:rPr>
        <w:t>验收调查表</w:t>
      </w:r>
    </w:p>
    <w:p>
      <w:pPr>
        <w:pStyle w:val="9"/>
        <w:rPr>
          <w:b/>
          <w:color w:val="auto"/>
          <w:w w:val="100"/>
          <w:sz w:val="72"/>
        </w:rPr>
      </w:pPr>
    </w:p>
    <w:p>
      <w:pPr>
        <w:pStyle w:val="9"/>
        <w:jc w:val="both"/>
        <w:rPr>
          <w:b/>
          <w:color w:val="auto"/>
          <w:w w:val="100"/>
          <w:sz w:val="72"/>
        </w:rPr>
      </w:pPr>
    </w:p>
    <w:p>
      <w:pPr>
        <w:pStyle w:val="9"/>
        <w:rPr>
          <w:b/>
          <w:color w:val="auto"/>
          <w:w w:val="100"/>
          <w:sz w:val="72"/>
        </w:rPr>
      </w:pPr>
    </w:p>
    <w:p>
      <w:pPr>
        <w:pStyle w:val="9"/>
        <w:rPr>
          <w:b/>
          <w:color w:val="auto"/>
          <w:w w:val="100"/>
          <w:sz w:val="72"/>
        </w:rPr>
      </w:pPr>
    </w:p>
    <w:p>
      <w:pPr>
        <w:pStyle w:val="9"/>
        <w:rPr>
          <w:b/>
          <w:color w:val="auto"/>
          <w:w w:val="100"/>
          <w:sz w:val="72"/>
        </w:rPr>
      </w:pPr>
    </w:p>
    <w:p>
      <w:pPr>
        <w:keepNext w:val="0"/>
        <w:keepLines w:val="0"/>
        <w:pageBreakBefore w:val="0"/>
        <w:widowControl w:val="0"/>
        <w:kinsoku/>
        <w:wordWrap/>
        <w:overflowPunct/>
        <w:topLinePunct w:val="0"/>
        <w:autoSpaceDE w:val="0"/>
        <w:autoSpaceDN w:val="0"/>
        <w:bidi w:val="0"/>
        <w:adjustRightInd/>
        <w:snapToGrid/>
        <w:spacing w:before="0" w:line="480" w:lineRule="auto"/>
        <w:ind w:right="0"/>
        <w:jc w:val="center"/>
        <w:textAlignment w:val="auto"/>
        <w:outlineLvl w:val="9"/>
        <w:rPr>
          <w:rFonts w:hint="default" w:ascii="Times New Roman" w:hAnsi="Times New Roman" w:eastAsia="宋体" w:cs="Times New Roman"/>
          <w:b/>
          <w:color w:val="auto"/>
          <w:w w:val="100"/>
          <w:sz w:val="30"/>
          <w:u w:val="single"/>
          <w:lang w:val="en-US" w:eastAsia="zh-CN"/>
        </w:rPr>
      </w:pPr>
      <w:r>
        <w:rPr>
          <w:b/>
          <w:color w:val="auto"/>
          <w:w w:val="100"/>
          <w:sz w:val="30"/>
        </w:rPr>
        <w:t>项 目 名 称</w:t>
      </w:r>
      <w:r>
        <w:rPr>
          <w:rFonts w:ascii="Times New Roman" w:eastAsia="Times New Roman"/>
          <w:b/>
          <w:color w:val="auto"/>
          <w:w w:val="100"/>
          <w:sz w:val="30"/>
        </w:rPr>
        <w:t>:</w:t>
      </w:r>
      <w:r>
        <w:rPr>
          <w:rFonts w:hint="default" w:ascii="Times New Roman" w:hAnsi="Times New Roman" w:eastAsia="宋体" w:cs="Times New Roman"/>
          <w:b/>
          <w:color w:val="auto"/>
          <w:w w:val="100"/>
          <w:sz w:val="30"/>
          <w:u w:val="single"/>
          <w:lang w:eastAsia="zh-CN"/>
        </w:rPr>
        <w:t xml:space="preserve"> </w:t>
      </w:r>
      <w:r>
        <w:rPr>
          <w:rFonts w:hint="eastAsia" w:cs="Times New Roman"/>
          <w:b/>
          <w:color w:val="auto"/>
          <w:w w:val="100"/>
          <w:sz w:val="30"/>
          <w:u w:val="single"/>
          <w:lang w:eastAsia="zh-CN"/>
        </w:rPr>
        <w:t>石热入济长距离输送供热工程（泰安段）</w:t>
      </w:r>
      <w:r>
        <w:rPr>
          <w:rFonts w:hint="eastAsia" w:cs="Times New Roman"/>
          <w:b/>
          <w:color w:val="auto"/>
          <w:w w:val="100"/>
          <w:sz w:val="30"/>
          <w:u w:val="single"/>
          <w:lang w:val="en-US" w:eastAsia="zh-CN"/>
        </w:rPr>
        <w:t xml:space="preserve">       </w:t>
      </w:r>
      <w:r>
        <w:rPr>
          <w:rFonts w:hint="eastAsia" w:ascii="Times New Roman" w:hAnsi="Times New Roman" w:eastAsia="宋体" w:cs="Times New Roman"/>
          <w:b/>
          <w:color w:val="auto"/>
          <w:w w:val="100"/>
          <w:sz w:val="30"/>
          <w:u w:val="single"/>
          <w:lang w:val="en-US" w:eastAsia="zh-CN"/>
        </w:rPr>
        <w:t xml:space="preserve">       </w:t>
      </w:r>
      <w:r>
        <w:rPr>
          <w:rFonts w:hint="eastAsia" w:cs="Times New Roman"/>
          <w:b/>
          <w:color w:val="auto"/>
          <w:w w:val="100"/>
          <w:sz w:val="30"/>
          <w:u w:val="single"/>
          <w:lang w:val="en-US" w:eastAsia="zh-CN"/>
        </w:rPr>
        <w:t xml:space="preserve">  </w:t>
      </w:r>
      <w:r>
        <w:rPr>
          <w:rFonts w:hint="eastAsia" w:ascii="Times New Roman" w:hAnsi="Times New Roman" w:eastAsia="宋体" w:cs="Times New Roman"/>
          <w:b/>
          <w:color w:val="auto"/>
          <w:w w:val="100"/>
          <w:sz w:val="30"/>
          <w:u w:val="single"/>
          <w:lang w:val="en-US" w:eastAsia="zh-CN"/>
        </w:rPr>
        <w:t xml:space="preserve"> </w:t>
      </w:r>
    </w:p>
    <w:p>
      <w:pPr>
        <w:keepNext w:val="0"/>
        <w:keepLines w:val="0"/>
        <w:pageBreakBefore w:val="0"/>
        <w:widowControl w:val="0"/>
        <w:kinsoku/>
        <w:wordWrap/>
        <w:overflowPunct/>
        <w:topLinePunct w:val="0"/>
        <w:autoSpaceDE w:val="0"/>
        <w:autoSpaceDN w:val="0"/>
        <w:bidi w:val="0"/>
        <w:adjustRightInd/>
        <w:snapToGrid/>
        <w:spacing w:before="0" w:line="480" w:lineRule="auto"/>
        <w:ind w:right="0" w:firstLine="1661" w:firstLineChars="400"/>
        <w:jc w:val="both"/>
        <w:textAlignment w:val="auto"/>
        <w:outlineLvl w:val="9"/>
        <w:rPr>
          <w:rFonts w:hint="default" w:eastAsia="宋体"/>
          <w:b/>
          <w:color w:val="auto"/>
          <w:w w:val="100"/>
          <w:sz w:val="30"/>
          <w:lang w:val="en-US" w:eastAsia="zh-CN"/>
        </w:rPr>
      </w:pPr>
      <w:r>
        <w:rPr>
          <w:b/>
          <w:color w:val="auto"/>
          <w:spacing w:val="57"/>
          <w:w w:val="100"/>
          <w:kern w:val="0"/>
          <w:sz w:val="30"/>
          <w:fitText w:val="6990" w:id="250108631"/>
        </w:rPr>
        <w:t>建设单位</w:t>
      </w:r>
      <w:r>
        <w:rPr>
          <w:rFonts w:hint="eastAsia" w:eastAsia="宋体"/>
          <w:b/>
          <w:color w:val="auto"/>
          <w:spacing w:val="57"/>
          <w:w w:val="100"/>
          <w:kern w:val="0"/>
          <w:sz w:val="30"/>
          <w:fitText w:val="6990" w:id="250108631"/>
          <w:lang w:val="en-US" w:eastAsia="zh-CN"/>
        </w:rPr>
        <w:t>(</w:t>
      </w:r>
      <w:r>
        <w:rPr>
          <w:b/>
          <w:color w:val="auto"/>
          <w:spacing w:val="57"/>
          <w:w w:val="100"/>
          <w:kern w:val="0"/>
          <w:sz w:val="30"/>
          <w:fitText w:val="6990" w:id="250108631"/>
        </w:rPr>
        <w:t>盖章</w:t>
      </w:r>
      <w:r>
        <w:rPr>
          <w:rFonts w:hint="eastAsia" w:eastAsia="宋体"/>
          <w:b/>
          <w:color w:val="auto"/>
          <w:spacing w:val="57"/>
          <w:w w:val="100"/>
          <w:kern w:val="0"/>
          <w:sz w:val="30"/>
          <w:fitText w:val="6990" w:id="250108631"/>
          <w:lang w:val="en-US" w:eastAsia="zh-CN"/>
        </w:rPr>
        <w:t>)</w:t>
      </w:r>
      <w:r>
        <w:rPr>
          <w:rFonts w:ascii="Times New Roman" w:eastAsia="Times New Roman"/>
          <w:b/>
          <w:color w:val="auto"/>
          <w:spacing w:val="57"/>
          <w:w w:val="100"/>
          <w:kern w:val="0"/>
          <w:sz w:val="30"/>
          <w:fitText w:val="6990" w:id="250108631"/>
        </w:rPr>
        <w:t>:</w:t>
      </w:r>
      <w:r>
        <w:rPr>
          <w:rFonts w:hint="eastAsia" w:ascii="Times New Roman" w:hAnsi="Times New Roman" w:eastAsia="宋体" w:cs="Times New Roman"/>
          <w:b/>
          <w:color w:val="auto"/>
          <w:spacing w:val="57"/>
          <w:w w:val="100"/>
          <w:kern w:val="0"/>
          <w:sz w:val="30"/>
          <w:u w:val="thick"/>
          <w:fitText w:val="6990" w:id="250108631"/>
          <w:lang w:val="en-US" w:eastAsia="zh-CN"/>
        </w:rPr>
        <w:t>济南热力集团有限公</w:t>
      </w:r>
      <w:r>
        <w:rPr>
          <w:rFonts w:hint="eastAsia" w:ascii="Times New Roman" w:hAnsi="Times New Roman" w:eastAsia="宋体" w:cs="Times New Roman"/>
          <w:b/>
          <w:color w:val="auto"/>
          <w:spacing w:val="4"/>
          <w:w w:val="100"/>
          <w:kern w:val="0"/>
          <w:sz w:val="30"/>
          <w:u w:val="thick"/>
          <w:fitText w:val="6990" w:id="250108631"/>
          <w:lang w:val="en-US" w:eastAsia="zh-CN"/>
        </w:rPr>
        <w:t>司</w:t>
      </w:r>
    </w:p>
    <w:p>
      <w:pPr>
        <w:pStyle w:val="9"/>
        <w:rPr>
          <w:b/>
          <w:color w:val="auto"/>
          <w:w w:val="100"/>
          <w:sz w:val="20"/>
        </w:rPr>
      </w:pPr>
    </w:p>
    <w:p>
      <w:pPr>
        <w:pStyle w:val="9"/>
        <w:jc w:val="both"/>
        <w:rPr>
          <w:b/>
          <w:color w:val="auto"/>
          <w:w w:val="100"/>
          <w:sz w:val="20"/>
        </w:rPr>
      </w:pPr>
    </w:p>
    <w:p>
      <w:pPr>
        <w:pStyle w:val="9"/>
        <w:keepNext w:val="0"/>
        <w:keepLines w:val="0"/>
        <w:pageBreakBefore w:val="0"/>
        <w:widowControl w:val="0"/>
        <w:kinsoku/>
        <w:wordWrap/>
        <w:overflowPunct/>
        <w:topLinePunct w:val="0"/>
        <w:autoSpaceDE w:val="0"/>
        <w:autoSpaceDN w:val="0"/>
        <w:bidi w:val="0"/>
        <w:adjustRightInd/>
        <w:snapToGrid/>
        <w:spacing w:before="3"/>
        <w:ind w:left="0" w:firstLine="0"/>
        <w:jc w:val="center"/>
        <w:textAlignment w:val="auto"/>
        <w:rPr>
          <w:b/>
          <w:bCs w:val="0"/>
          <w:color w:val="auto"/>
          <w:w w:val="100"/>
          <w:sz w:val="19"/>
        </w:rPr>
      </w:pPr>
    </w:p>
    <w:p>
      <w:pPr>
        <w:keepNext w:val="0"/>
        <w:keepLines w:val="0"/>
        <w:pageBreakBefore w:val="0"/>
        <w:widowControl w:val="0"/>
        <w:kinsoku/>
        <w:wordWrap/>
        <w:overflowPunct/>
        <w:topLinePunct w:val="0"/>
        <w:autoSpaceDE w:val="0"/>
        <w:autoSpaceDN w:val="0"/>
        <w:bidi w:val="0"/>
        <w:adjustRightInd/>
        <w:snapToGrid/>
        <w:spacing w:before="58" w:line="387" w:lineRule="auto"/>
        <w:ind w:left="0" w:right="0" w:firstLine="0"/>
        <w:jc w:val="center"/>
        <w:textAlignment w:val="auto"/>
        <w:outlineLvl w:val="9"/>
        <w:rPr>
          <w:rFonts w:hint="default" w:ascii="Times New Roman" w:hAnsi="Times New Roman" w:cs="Times New Roman"/>
          <w:b/>
          <w:bCs w:val="0"/>
          <w:color w:val="auto"/>
          <w:w w:val="100"/>
          <w:sz w:val="30"/>
        </w:rPr>
      </w:pPr>
    </w:p>
    <w:p>
      <w:pPr>
        <w:keepNext w:val="0"/>
        <w:keepLines w:val="0"/>
        <w:pageBreakBefore w:val="0"/>
        <w:widowControl w:val="0"/>
        <w:kinsoku/>
        <w:wordWrap/>
        <w:overflowPunct/>
        <w:topLinePunct w:val="0"/>
        <w:autoSpaceDE w:val="0"/>
        <w:autoSpaceDN w:val="0"/>
        <w:bidi w:val="0"/>
        <w:adjustRightInd/>
        <w:snapToGrid/>
        <w:spacing w:before="58" w:line="387" w:lineRule="auto"/>
        <w:ind w:left="0" w:right="0" w:firstLine="0"/>
        <w:jc w:val="center"/>
        <w:textAlignment w:val="auto"/>
        <w:outlineLvl w:val="9"/>
        <w:rPr>
          <w:rFonts w:hint="default" w:ascii="Times New Roman" w:hAnsi="Times New Roman" w:cs="Times New Roman"/>
          <w:b/>
          <w:bCs w:val="0"/>
          <w:color w:val="auto"/>
          <w:w w:val="100"/>
          <w:sz w:val="30"/>
          <w:highlight w:val="none"/>
          <w:lang w:eastAsia="zh-CN"/>
        </w:rPr>
      </w:pPr>
      <w:r>
        <w:rPr>
          <w:rFonts w:hint="default" w:ascii="Times New Roman" w:hAnsi="Times New Roman" w:cs="Times New Roman"/>
          <w:b/>
          <w:bCs w:val="0"/>
          <w:color w:val="auto"/>
          <w:w w:val="100"/>
          <w:sz w:val="30"/>
        </w:rPr>
        <w:t>编制单位：</w:t>
      </w:r>
      <w:r>
        <w:rPr>
          <w:rFonts w:hint="eastAsia" w:ascii="Times New Roman" w:hAnsi="Times New Roman" w:cs="Times New Roman"/>
          <w:b/>
          <w:bCs w:val="0"/>
          <w:color w:val="auto"/>
          <w:w w:val="100"/>
          <w:sz w:val="30"/>
          <w:highlight w:val="none"/>
          <w:lang w:eastAsia="zh-CN"/>
        </w:rPr>
        <w:t>山东蓝昕环保测试分析</w:t>
      </w:r>
      <w:r>
        <w:rPr>
          <w:rFonts w:hint="default" w:ascii="Times New Roman" w:hAnsi="Times New Roman" w:cs="Times New Roman"/>
          <w:b/>
          <w:bCs w:val="0"/>
          <w:color w:val="auto"/>
          <w:w w:val="100"/>
          <w:sz w:val="30"/>
          <w:highlight w:val="none"/>
          <w:lang w:eastAsia="zh-CN"/>
        </w:rPr>
        <w:t>有限公司</w:t>
      </w:r>
    </w:p>
    <w:p>
      <w:pPr>
        <w:keepNext w:val="0"/>
        <w:keepLines w:val="0"/>
        <w:pageBreakBefore w:val="0"/>
        <w:widowControl w:val="0"/>
        <w:kinsoku/>
        <w:wordWrap/>
        <w:overflowPunct/>
        <w:topLinePunct w:val="0"/>
        <w:autoSpaceDE w:val="0"/>
        <w:autoSpaceDN w:val="0"/>
        <w:bidi w:val="0"/>
        <w:adjustRightInd/>
        <w:snapToGrid/>
        <w:spacing w:before="58" w:line="387" w:lineRule="auto"/>
        <w:ind w:left="0" w:right="0" w:firstLine="0"/>
        <w:jc w:val="center"/>
        <w:textAlignment w:val="auto"/>
        <w:outlineLvl w:val="9"/>
        <w:rPr>
          <w:rFonts w:eastAsia="黑体"/>
          <w:b/>
          <w:color w:val="auto"/>
          <w:kern w:val="0"/>
          <w:sz w:val="48"/>
          <w:szCs w:val="22"/>
        </w:rPr>
      </w:pPr>
      <w:r>
        <w:rPr>
          <w:rFonts w:hint="default" w:ascii="Times New Roman" w:hAnsi="Times New Roman" w:eastAsia="宋体" w:cs="Times New Roman"/>
          <w:b/>
          <w:bCs w:val="0"/>
          <w:color w:val="auto"/>
          <w:w w:val="100"/>
          <w:sz w:val="30"/>
        </w:rPr>
        <w:t>20</w:t>
      </w:r>
      <w:r>
        <w:rPr>
          <w:rFonts w:hint="eastAsia" w:ascii="Times New Roman" w:hAnsi="Times New Roman" w:eastAsia="宋体" w:cs="Times New Roman"/>
          <w:b/>
          <w:bCs w:val="0"/>
          <w:color w:val="auto"/>
          <w:w w:val="100"/>
          <w:sz w:val="30"/>
          <w:lang w:val="en-US" w:eastAsia="zh-CN"/>
        </w:rPr>
        <w:t>24</w:t>
      </w:r>
      <w:r>
        <w:rPr>
          <w:rFonts w:hint="default" w:ascii="Times New Roman" w:hAnsi="Times New Roman" w:eastAsia="宋体" w:cs="Times New Roman"/>
          <w:b/>
          <w:bCs w:val="0"/>
          <w:color w:val="auto"/>
          <w:w w:val="100"/>
          <w:sz w:val="30"/>
        </w:rPr>
        <w:t>年</w:t>
      </w:r>
      <w:r>
        <w:rPr>
          <w:rFonts w:hint="eastAsia" w:cs="Times New Roman"/>
          <w:b/>
          <w:bCs w:val="0"/>
          <w:color w:val="auto"/>
          <w:w w:val="100"/>
          <w:sz w:val="30"/>
          <w:lang w:val="en-US" w:eastAsia="zh-CN"/>
        </w:rPr>
        <w:t>11</w:t>
      </w:r>
      <w:r>
        <w:rPr>
          <w:rFonts w:hint="default" w:ascii="Times New Roman" w:hAnsi="Times New Roman" w:eastAsia="宋体" w:cs="Times New Roman"/>
          <w:b/>
          <w:bCs w:val="0"/>
          <w:color w:val="auto"/>
          <w:w w:val="100"/>
          <w:sz w:val="30"/>
        </w:rPr>
        <w:t>月</w:t>
      </w:r>
    </w:p>
    <w:p>
      <w:pPr>
        <w:widowControl/>
        <w:spacing w:line="548" w:lineRule="exact"/>
        <w:ind w:right="-13"/>
        <w:jc w:val="center"/>
        <w:rPr>
          <w:rFonts w:eastAsia="黑体"/>
          <w:b/>
          <w:color w:val="auto"/>
          <w:kern w:val="0"/>
          <w:sz w:val="48"/>
          <w:szCs w:val="22"/>
        </w:rPr>
      </w:pPr>
    </w:p>
    <w:p>
      <w:pPr>
        <w:keepNext w:val="0"/>
        <w:keepLines w:val="0"/>
        <w:pageBreakBefore w:val="0"/>
        <w:widowControl w:val="0"/>
        <w:tabs>
          <w:tab w:val="left" w:pos="2100"/>
        </w:tabs>
        <w:kinsoku/>
        <w:wordWrap/>
        <w:overflowPunct/>
        <w:topLinePunct w:val="0"/>
        <w:autoSpaceDE/>
        <w:autoSpaceDN/>
        <w:bidi w:val="0"/>
        <w:adjustRightInd/>
        <w:snapToGrid/>
        <w:spacing w:before="361" w:beforeLines="100" w:line="480" w:lineRule="auto"/>
        <w:ind w:right="-617" w:rightChars="-294"/>
        <w:jc w:val="both"/>
        <w:textAlignment w:val="auto"/>
        <w:outlineLvl w:val="9"/>
        <w:rPr>
          <w:rFonts w:hint="default" w:ascii="Times New Roman" w:hAnsi="Times New Roman" w:eastAsia="黑体" w:cs="Times New Roman"/>
          <w:color w:val="auto"/>
          <w:sz w:val="28"/>
          <w:szCs w:val="28"/>
          <w:lang w:val="en-US" w:eastAsia="zh-CN"/>
        </w:rPr>
        <w:sectPr>
          <w:headerReference r:id="rId3" w:type="default"/>
          <w:pgSz w:w="11906" w:h="16838"/>
          <w:pgMar w:top="720" w:right="720" w:bottom="720" w:left="720" w:header="708" w:footer="708" w:gutter="0"/>
          <w:pgBorders>
            <w:top w:val="none" w:sz="0" w:space="0"/>
            <w:left w:val="none" w:sz="0" w:space="0"/>
            <w:bottom w:val="none" w:sz="0" w:space="0"/>
            <w:right w:val="none" w:sz="0" w:space="0"/>
          </w:pgBorders>
          <w:cols w:space="720" w:num="1"/>
          <w:docGrid w:linePitch="360" w:charSpace="0"/>
        </w:sectPr>
      </w:pPr>
    </w:p>
    <w:p>
      <w:pPr>
        <w:pStyle w:val="21"/>
        <w:rPr>
          <w:rFonts w:hint="default"/>
          <w:color w:val="auto"/>
          <w:lang w:val="en-US" w:eastAsia="zh-CN"/>
        </w:rPr>
      </w:pPr>
    </w:p>
    <w:p>
      <w:pPr>
        <w:keepNext w:val="0"/>
        <w:keepLines w:val="0"/>
        <w:pageBreakBefore w:val="0"/>
        <w:widowControl w:val="0"/>
        <w:tabs>
          <w:tab w:val="left" w:pos="2100"/>
        </w:tabs>
        <w:kinsoku/>
        <w:wordWrap/>
        <w:overflowPunct/>
        <w:topLinePunct w:val="0"/>
        <w:autoSpaceDE/>
        <w:autoSpaceDN/>
        <w:bidi w:val="0"/>
        <w:adjustRightInd/>
        <w:snapToGrid/>
        <w:spacing w:before="361" w:beforeLines="100" w:line="480" w:lineRule="auto"/>
        <w:ind w:right="-617" w:rightChars="-294"/>
        <w:jc w:val="both"/>
        <w:textAlignment w:val="auto"/>
        <w:outlineLvl w:val="9"/>
        <w:rPr>
          <w:rFonts w:hint="default" w:ascii="Times New Roman" w:hAnsi="Times New Roman" w:cs="Times New Roman"/>
          <w:b/>
          <w:bCs/>
          <w:color w:val="auto"/>
          <w:sz w:val="32"/>
          <w:szCs w:val="32"/>
          <w:highlight w:val="none"/>
        </w:rPr>
      </w:pPr>
      <w:r>
        <w:rPr>
          <w:rFonts w:hint="default" w:ascii="Times New Roman" w:hAnsi="Times New Roman" w:eastAsia="黑体" w:cs="Times New Roman"/>
          <w:color w:val="auto"/>
          <w:sz w:val="28"/>
          <w:szCs w:val="28"/>
          <w:lang w:val="en-US" w:eastAsia="zh-CN"/>
        </w:rPr>
        <w:t>建</w:t>
      </w:r>
      <w:r>
        <w:rPr>
          <w:rFonts w:hint="default" w:ascii="Times New Roman" w:hAnsi="Times New Roman" w:eastAsia="黑体" w:cs="Times New Roman"/>
          <w:color w:val="auto"/>
          <w:sz w:val="28"/>
          <w:szCs w:val="28"/>
          <w:highlight w:val="none"/>
          <w:lang w:val="en-US" w:eastAsia="zh-CN"/>
        </w:rPr>
        <w:t>设单位（盖章）：</w:t>
      </w:r>
      <w:r>
        <w:rPr>
          <w:rFonts w:hint="eastAsia" w:ascii="Times New Roman" w:hAnsi="Times New Roman" w:eastAsia="黑体" w:cs="Times New Roman"/>
          <w:color w:val="auto"/>
          <w:kern w:val="0"/>
          <w:sz w:val="28"/>
          <w:szCs w:val="28"/>
          <w:highlight w:val="none"/>
          <w:lang w:val="en-US" w:eastAsia="zh-CN" w:bidi="ar-SA"/>
        </w:rPr>
        <w:t>济南热力集团有限公司</w:t>
      </w:r>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default"/>
          <w:color w:val="auto"/>
          <w:highlight w:val="none"/>
          <w:lang w:val="en-US" w:eastAsia="zh-CN"/>
        </w:rPr>
      </w:pPr>
      <w:r>
        <w:rPr>
          <w:rFonts w:hint="default" w:ascii="Times New Roman" w:hAnsi="Times New Roman" w:eastAsia="黑体" w:cs="Times New Roman"/>
          <w:color w:val="auto"/>
          <w:sz w:val="28"/>
          <w:szCs w:val="28"/>
          <w:highlight w:val="none"/>
          <w:lang w:val="en-US" w:eastAsia="zh-CN"/>
        </w:rPr>
        <w:t>电话：</w:t>
      </w:r>
      <w:r>
        <w:rPr>
          <w:rFonts w:hint="eastAsia" w:eastAsia="黑体" w:cs="Times New Roman"/>
          <w:color w:val="auto"/>
          <w:kern w:val="2"/>
          <w:sz w:val="28"/>
          <w:szCs w:val="28"/>
          <w:highlight w:val="none"/>
          <w:lang w:val="en-US" w:eastAsia="zh-CN" w:bidi="ar-SA"/>
        </w:rPr>
        <w:t>15069966187</w:t>
      </w:r>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eastAsia" w:eastAsia="黑体" w:cs="Times New Roman"/>
          <w:color w:val="auto"/>
          <w:sz w:val="28"/>
          <w:szCs w:val="28"/>
          <w:lang w:val="en-US" w:eastAsia="zh-CN"/>
        </w:rPr>
      </w:pPr>
      <w:r>
        <w:rPr>
          <w:rFonts w:hint="default" w:ascii="Times New Roman" w:hAnsi="Times New Roman" w:eastAsia="黑体" w:cs="Times New Roman"/>
          <w:color w:val="auto"/>
          <w:sz w:val="28"/>
          <w:szCs w:val="28"/>
          <w:lang w:val="en-US" w:eastAsia="zh-CN"/>
        </w:rPr>
        <w:t>邮编：</w:t>
      </w:r>
      <w:r>
        <w:rPr>
          <w:rFonts w:hint="eastAsia" w:ascii="Times New Roman" w:hAnsi="Times New Roman" w:eastAsia="黑体" w:cs="Times New Roman"/>
          <w:color w:val="auto"/>
          <w:sz w:val="28"/>
          <w:szCs w:val="28"/>
          <w:lang w:val="en-US" w:eastAsia="zh-CN"/>
        </w:rPr>
        <w:t>2</w:t>
      </w:r>
      <w:r>
        <w:rPr>
          <w:rFonts w:hint="eastAsia" w:eastAsia="黑体" w:cs="Times New Roman"/>
          <w:color w:val="auto"/>
          <w:sz w:val="28"/>
          <w:szCs w:val="28"/>
          <w:lang w:val="en-US" w:eastAsia="zh-CN"/>
        </w:rPr>
        <w:t>50011</w:t>
      </w:r>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default" w:ascii="Times New Roman" w:hAnsi="Times New Roman" w:eastAsia="黑体" w:cs="Times New Roman"/>
          <w:color w:val="auto"/>
          <w:sz w:val="28"/>
          <w:szCs w:val="28"/>
          <w:lang w:val="en-US" w:eastAsia="zh-CN"/>
        </w:rPr>
      </w:pPr>
      <w:r>
        <w:rPr>
          <w:rFonts w:hint="default" w:ascii="Times New Roman" w:hAnsi="Times New Roman" w:eastAsia="黑体" w:cs="Times New Roman"/>
          <w:color w:val="auto"/>
          <w:sz w:val="28"/>
          <w:szCs w:val="28"/>
          <w:lang w:val="en-US" w:eastAsia="zh-CN"/>
        </w:rPr>
        <w:t>地址：</w:t>
      </w:r>
      <w:r>
        <w:rPr>
          <w:rFonts w:hint="eastAsia" w:ascii="Times New Roman" w:hAnsi="Times New Roman" w:eastAsia="黑体" w:cs="Times New Roman"/>
          <w:color w:val="auto"/>
          <w:sz w:val="28"/>
          <w:szCs w:val="28"/>
          <w:lang w:val="en-US" w:eastAsia="zh-CN"/>
        </w:rPr>
        <w:t>山东省济南市历下区解放东路3号</w:t>
      </w:r>
    </w:p>
    <w:p>
      <w:pPr>
        <w:keepNext w:val="0"/>
        <w:keepLines w:val="0"/>
        <w:pageBreakBefore w:val="0"/>
        <w:widowControl w:val="0"/>
        <w:kinsoku/>
        <w:wordWrap/>
        <w:overflowPunct/>
        <w:topLinePunct w:val="0"/>
        <w:autoSpaceDE/>
        <w:autoSpaceDN/>
        <w:bidi w:val="0"/>
        <w:adjustRightInd/>
        <w:snapToGrid/>
        <w:textAlignment w:val="auto"/>
        <w:outlineLvl w:val="9"/>
        <w:rPr>
          <w:rFonts w:hint="eastAsia"/>
          <w:color w:val="auto"/>
          <w:lang w:val="en-US" w:eastAsia="zh-CN"/>
        </w:rPr>
      </w:pPr>
    </w:p>
    <w:p>
      <w:pPr>
        <w:keepNext w:val="0"/>
        <w:keepLines w:val="0"/>
        <w:pageBreakBefore w:val="0"/>
        <w:widowControl w:val="0"/>
        <w:tabs>
          <w:tab w:val="left" w:pos="2100"/>
        </w:tabs>
        <w:kinsoku/>
        <w:wordWrap/>
        <w:overflowPunct/>
        <w:topLinePunct w:val="0"/>
        <w:autoSpaceDE/>
        <w:autoSpaceDN/>
        <w:bidi w:val="0"/>
        <w:adjustRightInd/>
        <w:snapToGrid/>
        <w:spacing w:line="360" w:lineRule="auto"/>
        <w:ind w:right="-617" w:rightChars="-294"/>
        <w:jc w:val="center"/>
        <w:textAlignment w:val="auto"/>
        <w:outlineLvl w:val="9"/>
        <w:rPr>
          <w:rFonts w:hint="default" w:ascii="Times New Roman" w:hAnsi="Times New Roman" w:cs="Times New Roman"/>
          <w:color w:val="auto"/>
          <w:spacing w:val="0"/>
        </w:rPr>
      </w:pPr>
    </w:p>
    <w:p>
      <w:pPr>
        <w:pStyle w:val="21"/>
        <w:rPr>
          <w:rFonts w:hint="default"/>
          <w:color w:val="auto"/>
        </w:rPr>
      </w:pPr>
    </w:p>
    <w:p>
      <w:pPr>
        <w:pStyle w:val="21"/>
        <w:keepNext w:val="0"/>
        <w:keepLines w:val="0"/>
        <w:pageBreakBefore w:val="0"/>
        <w:widowControl w:val="0"/>
        <w:kinsoku/>
        <w:wordWrap/>
        <w:overflowPunct/>
        <w:topLinePunct w:val="0"/>
        <w:autoSpaceDE/>
        <w:autoSpaceDN/>
        <w:bidi w:val="0"/>
        <w:adjustRightInd/>
        <w:snapToGrid/>
        <w:textAlignment w:val="auto"/>
        <w:outlineLvl w:val="9"/>
        <w:rPr>
          <w:rFonts w:hint="default"/>
          <w:color w:val="auto"/>
        </w:rPr>
      </w:pPr>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eastAsia" w:ascii="Times New Roman" w:hAnsi="Times New Roman" w:eastAsia="黑体" w:cs="Times New Roman"/>
          <w:color w:val="auto"/>
          <w:sz w:val="28"/>
          <w:szCs w:val="28"/>
          <w:lang w:val="en-US" w:eastAsia="zh-CN"/>
        </w:rPr>
      </w:pPr>
      <w:r>
        <w:rPr>
          <w:rFonts w:hint="eastAsia" w:ascii="Times New Roman" w:hAnsi="Times New Roman" w:eastAsia="黑体" w:cs="Times New Roman"/>
          <w:color w:val="auto"/>
          <w:sz w:val="28"/>
          <w:szCs w:val="28"/>
          <w:lang w:val="en-US" w:eastAsia="zh-CN"/>
        </w:rPr>
        <w:t>编制</w:t>
      </w:r>
      <w:r>
        <w:rPr>
          <w:rFonts w:hint="default" w:ascii="Times New Roman" w:hAnsi="Times New Roman" w:eastAsia="黑体" w:cs="Times New Roman"/>
          <w:color w:val="auto"/>
          <w:sz w:val="28"/>
          <w:szCs w:val="28"/>
        </w:rPr>
        <w:t>单位（盖章）：</w:t>
      </w:r>
      <w:r>
        <w:rPr>
          <w:rFonts w:hint="eastAsia" w:ascii="Times New Roman" w:hAnsi="Times New Roman" w:eastAsia="黑体" w:cs="Times New Roman"/>
          <w:color w:val="auto"/>
          <w:sz w:val="28"/>
          <w:szCs w:val="28"/>
          <w:lang w:val="en-US" w:eastAsia="zh-CN"/>
        </w:rPr>
        <w:t>山东蓝昕环保测试分析有限公司</w:t>
      </w:r>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default" w:ascii="Times New Roman" w:hAnsi="Times New Roman" w:eastAsia="黑体" w:cs="Times New Roman"/>
          <w:color w:val="auto"/>
          <w:sz w:val="28"/>
          <w:szCs w:val="28"/>
          <w:lang w:val="en-US" w:eastAsia="zh-CN"/>
        </w:rPr>
      </w:pPr>
      <w:r>
        <w:rPr>
          <w:rFonts w:hint="default" w:ascii="Times New Roman" w:hAnsi="Times New Roman" w:eastAsia="黑体" w:cs="Times New Roman"/>
          <w:color w:val="auto"/>
          <w:sz w:val="28"/>
          <w:szCs w:val="28"/>
          <w:lang w:val="en-US" w:eastAsia="zh-CN"/>
        </w:rPr>
        <w:t>电话：</w:t>
      </w:r>
      <w:r>
        <w:rPr>
          <w:rFonts w:hint="eastAsia" w:ascii="Times New Roman" w:hAnsi="Times New Roman" w:eastAsia="黑体" w:cs="Times New Roman"/>
          <w:color w:val="auto"/>
          <w:sz w:val="28"/>
          <w:szCs w:val="28"/>
          <w:lang w:val="en-US" w:eastAsia="zh-CN"/>
        </w:rPr>
        <w:t>13964180098</w:t>
      </w:r>
    </w:p>
    <w:p>
      <w:pPr>
        <w:pStyle w:val="21"/>
        <w:keepNext w:val="0"/>
        <w:keepLines w:val="0"/>
        <w:pageBreakBefore w:val="0"/>
        <w:widowControl w:val="0"/>
        <w:kinsoku/>
        <w:wordWrap/>
        <w:overflowPunct/>
        <w:topLinePunct w:val="0"/>
        <w:autoSpaceDE/>
        <w:autoSpaceDN/>
        <w:bidi w:val="0"/>
        <w:adjustRightInd/>
        <w:snapToGrid/>
        <w:spacing w:after="0" w:line="480" w:lineRule="auto"/>
        <w:ind w:left="0" w:leftChars="0" w:firstLine="0" w:firstLineChars="0"/>
        <w:jc w:val="both"/>
        <w:textAlignment w:val="auto"/>
        <w:outlineLvl w:val="9"/>
        <w:rPr>
          <w:rFonts w:hint="eastAsia" w:ascii="Times New Roman" w:hAnsi="Times New Roman" w:eastAsia="黑体" w:cs="Times New Roman"/>
          <w:color w:val="auto"/>
          <w:sz w:val="28"/>
          <w:szCs w:val="28"/>
          <w:lang w:val="en-US" w:eastAsia="zh-CN"/>
        </w:rPr>
      </w:pPr>
      <w:r>
        <w:rPr>
          <w:rFonts w:hint="default" w:ascii="Times New Roman" w:hAnsi="Times New Roman" w:eastAsia="黑体" w:cs="Times New Roman"/>
          <w:color w:val="auto"/>
          <w:sz w:val="28"/>
          <w:szCs w:val="28"/>
          <w:lang w:val="en-US" w:eastAsia="zh-CN"/>
        </w:rPr>
        <w:t>邮编：250</w:t>
      </w:r>
      <w:r>
        <w:rPr>
          <w:rFonts w:hint="eastAsia" w:ascii="Times New Roman" w:hAnsi="Times New Roman" w:eastAsia="黑体" w:cs="Times New Roman"/>
          <w:color w:val="auto"/>
          <w:sz w:val="28"/>
          <w:szCs w:val="28"/>
          <w:lang w:val="en-US" w:eastAsia="zh-CN"/>
        </w:rPr>
        <w:t>10</w:t>
      </w:r>
      <w:r>
        <w:rPr>
          <w:rFonts w:hint="default" w:ascii="Times New Roman" w:hAnsi="Times New Roman" w:eastAsia="黑体" w:cs="Times New Roman"/>
          <w:color w:val="auto"/>
          <w:sz w:val="28"/>
          <w:szCs w:val="28"/>
          <w:lang w:val="en-US" w:eastAsia="zh-CN"/>
        </w:rPr>
        <w:t>0</w:t>
      </w:r>
    </w:p>
    <w:p>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jc w:val="both"/>
        <w:textAlignment w:val="auto"/>
        <w:rPr>
          <w:rFonts w:hint="default" w:ascii="Times New Roman" w:hAnsi="Times New Roman" w:eastAsia="黑体" w:cs="Times New Roman"/>
          <w:color w:val="auto"/>
          <w:sz w:val="28"/>
          <w:szCs w:val="28"/>
          <w:lang w:val="en-US" w:eastAsia="zh-CN"/>
        </w:rPr>
      </w:pPr>
      <w:r>
        <w:rPr>
          <w:rFonts w:hint="default" w:ascii="Times New Roman" w:hAnsi="Times New Roman" w:eastAsia="黑体" w:cs="Times New Roman"/>
          <w:color w:val="auto"/>
          <w:sz w:val="28"/>
          <w:szCs w:val="28"/>
        </w:rPr>
        <w:t>地址：山东省济南市</w:t>
      </w:r>
      <w:r>
        <w:rPr>
          <w:rFonts w:ascii="Times New Roman" w:hAnsi="Times New Roman" w:eastAsia="黑体" w:cs="Times New Roman"/>
          <w:i w:val="0"/>
          <w:caps w:val="0"/>
          <w:color w:val="auto"/>
          <w:spacing w:val="0"/>
          <w:sz w:val="28"/>
          <w:szCs w:val="28"/>
          <w:shd w:val="clear" w:color="auto" w:fill="FFFFFF"/>
        </w:rPr>
        <w:t>高新舜风路322号生产厂1号楼</w:t>
      </w:r>
    </w:p>
    <w:p>
      <w:pPr>
        <w:keepNext w:val="0"/>
        <w:keepLines w:val="0"/>
        <w:pageBreakBefore w:val="0"/>
        <w:widowControl w:val="0"/>
        <w:kinsoku/>
        <w:wordWrap/>
        <w:overflowPunct/>
        <w:topLinePunct w:val="0"/>
        <w:autoSpaceDE/>
        <w:autoSpaceDN/>
        <w:bidi w:val="0"/>
        <w:adjustRightInd/>
        <w:snapToGrid/>
        <w:spacing w:after="0" w:afterLines="0" w:line="480" w:lineRule="auto"/>
        <w:textAlignment w:val="auto"/>
        <w:outlineLvl w:val="9"/>
        <w:rPr>
          <w:rFonts w:hint="default" w:ascii="Times New Roman" w:hAnsi="Times New Roman" w:eastAsia="黑体" w:cs="Times New Roman"/>
          <w:b w:val="0"/>
          <w:color w:val="auto"/>
          <w:sz w:val="28"/>
          <w:szCs w:val="28"/>
        </w:rPr>
        <w:sectPr>
          <w:pgSz w:w="11906" w:h="16838"/>
          <w:pgMar w:top="1440" w:right="1800" w:bottom="1440" w:left="1800" w:header="708" w:footer="708" w:gutter="0"/>
          <w:pgBorders>
            <w:top w:val="none" w:sz="0" w:space="0"/>
            <w:left w:val="none" w:sz="0" w:space="0"/>
            <w:bottom w:val="none" w:sz="0" w:space="0"/>
            <w:right w:val="none" w:sz="0" w:space="0"/>
          </w:pgBorders>
          <w:cols w:space="720" w:num="1"/>
          <w:docGrid w:linePitch="360" w:charSpace="0"/>
        </w:sectPr>
      </w:pPr>
    </w:p>
    <w:p>
      <w:pPr>
        <w:autoSpaceDE w:val="0"/>
        <w:autoSpaceDN w:val="0"/>
        <w:adjustRightInd w:val="0"/>
        <w:jc w:val="center"/>
        <w:rPr>
          <w:rFonts w:hint="default" w:ascii="Times New Roman" w:hAnsi="Times New Roman" w:eastAsia="宋体" w:cs="Times New Roman"/>
          <w:b/>
          <w:bCs/>
          <w:color w:val="auto"/>
          <w:szCs w:val="22"/>
        </w:rPr>
      </w:pPr>
      <w:r>
        <w:rPr>
          <w:rFonts w:hint="default" w:ascii="Times New Roman" w:hAnsi="Times New Roman" w:eastAsia="宋体" w:cs="Times New Roman"/>
          <w:b/>
          <w:bCs/>
          <w:color w:val="auto"/>
          <w:sz w:val="32"/>
        </w:rPr>
        <w:t>表</w:t>
      </w:r>
      <w:r>
        <w:rPr>
          <w:rFonts w:hint="eastAsia" w:ascii="Times New Roman" w:hAnsi="Times New Roman" w:eastAsia="宋体" w:cs="Times New Roman"/>
          <w:b/>
          <w:bCs/>
          <w:color w:val="auto"/>
          <w:sz w:val="32"/>
          <w:lang w:val="en-US" w:eastAsia="zh-CN"/>
        </w:rPr>
        <w:t xml:space="preserve"> 1</w:t>
      </w:r>
      <w:r>
        <w:rPr>
          <w:rFonts w:hint="default" w:ascii="Times New Roman" w:hAnsi="Times New Roman" w:eastAsia="宋体" w:cs="Times New Roman"/>
          <w:b/>
          <w:bCs/>
          <w:color w:val="auto"/>
          <w:sz w:val="32"/>
        </w:rPr>
        <w:t xml:space="preserve"> </w:t>
      </w:r>
      <w:r>
        <w:rPr>
          <w:rFonts w:hint="default" w:ascii="Times New Roman" w:hAnsi="Times New Roman" w:eastAsia="宋体" w:cs="Times New Roman"/>
          <w:b/>
          <w:bCs/>
          <w:color w:val="auto"/>
          <w:sz w:val="31"/>
        </w:rPr>
        <w:t>项目总体情况</w:t>
      </w:r>
    </w:p>
    <w:tbl>
      <w:tblPr>
        <w:tblStyle w:val="22"/>
        <w:tblW w:w="969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291"/>
        <w:gridCol w:w="992"/>
        <w:gridCol w:w="1159"/>
        <w:gridCol w:w="1163"/>
        <w:gridCol w:w="449"/>
        <w:gridCol w:w="320"/>
        <w:gridCol w:w="170"/>
        <w:gridCol w:w="130"/>
        <w:gridCol w:w="91"/>
        <w:gridCol w:w="132"/>
        <w:gridCol w:w="770"/>
        <w:gridCol w:w="578"/>
        <w:gridCol w:w="990"/>
        <w:gridCol w:w="285"/>
        <w:gridCol w:w="117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0" w:hRule="atLeast"/>
          <w:jc w:val="center"/>
        </w:trPr>
        <w:tc>
          <w:tcPr>
            <w:tcW w:w="2283" w:type="dxa"/>
            <w:gridSpan w:val="2"/>
            <w:tcBorders>
              <w:tl2br w:val="nil"/>
              <w:tr2bl w:val="nil"/>
            </w:tcBorders>
            <w:vAlign w:val="center"/>
          </w:tcPr>
          <w:p>
            <w:pPr>
              <w:autoSpaceDE w:val="0"/>
              <w:autoSpaceDN w:val="0"/>
              <w:adjustRightInd w:val="0"/>
              <w:jc w:val="center"/>
              <w:rPr>
                <w:rFonts w:ascii="Times New Roman" w:hAnsi="Times New Roman" w:eastAsia="宋体" w:cs="Times New Roman"/>
                <w:color w:val="auto"/>
                <w:sz w:val="24"/>
                <w:szCs w:val="24"/>
              </w:rPr>
            </w:pPr>
            <w:r>
              <w:rPr>
                <w:rFonts w:ascii="Times New Roman" w:hAnsi="Times New Roman" w:eastAsia="宋体" w:cs="Times New Roman"/>
                <w:color w:val="auto"/>
                <w:sz w:val="24"/>
                <w:szCs w:val="24"/>
              </w:rPr>
              <w:t>建设项目名称</w:t>
            </w:r>
          </w:p>
        </w:tc>
        <w:tc>
          <w:tcPr>
            <w:tcW w:w="7411" w:type="dxa"/>
            <w:gridSpan w:val="13"/>
            <w:tcBorders>
              <w:tl2br w:val="nil"/>
              <w:tr2bl w:val="nil"/>
            </w:tcBorders>
            <w:vAlign w:val="center"/>
          </w:tcPr>
          <w:p>
            <w:pPr>
              <w:autoSpaceDE w:val="0"/>
              <w:autoSpaceDN w:val="0"/>
              <w:adjustRightInd w:val="0"/>
              <w:jc w:val="center"/>
              <w:rPr>
                <w:rFonts w:ascii="Times New Roman" w:hAnsi="Times New Roman" w:eastAsia="宋体" w:cs="Times New Roman"/>
                <w:color w:val="auto"/>
                <w:sz w:val="24"/>
                <w:szCs w:val="24"/>
              </w:rPr>
            </w:pPr>
            <w:r>
              <w:rPr>
                <w:rFonts w:hint="eastAsia" w:ascii="宋体" w:hAnsi="宋体" w:cs="宋体"/>
                <w:color w:val="auto"/>
                <w:sz w:val="24"/>
                <w:szCs w:val="24"/>
                <w:lang w:val="en-US" w:eastAsia="zh-CN"/>
              </w:rPr>
              <w:t>石热入济长距离输送供热工程（泰安段）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76"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建设单位</w:t>
            </w:r>
          </w:p>
        </w:tc>
        <w:tc>
          <w:tcPr>
            <w:tcW w:w="7411" w:type="dxa"/>
            <w:gridSpan w:val="13"/>
            <w:tcBorders>
              <w:tl2br w:val="nil"/>
              <w:tr2bl w:val="nil"/>
            </w:tcBorders>
            <w:vAlign w:val="center"/>
          </w:tcPr>
          <w:p>
            <w:pPr>
              <w:widowControl/>
              <w:jc w:val="center"/>
              <w:rPr>
                <w:color w:val="auto"/>
                <w:sz w:val="24"/>
                <w:szCs w:val="24"/>
              </w:rPr>
            </w:pPr>
            <w:r>
              <w:rPr>
                <w:rFonts w:hint="eastAsia"/>
                <w:color w:val="auto"/>
                <w:sz w:val="24"/>
                <w:szCs w:val="24"/>
                <w:lang w:eastAsia="zh-CN"/>
              </w:rPr>
              <w:t>济南热力集团有限公司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74"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法人代表</w:t>
            </w:r>
          </w:p>
        </w:tc>
        <w:tc>
          <w:tcPr>
            <w:tcW w:w="3091" w:type="dxa"/>
            <w:gridSpan w:val="4"/>
            <w:tcBorders>
              <w:tl2br w:val="nil"/>
              <w:tr2bl w:val="nil"/>
            </w:tcBorders>
            <w:vAlign w:val="center"/>
          </w:tcPr>
          <w:p>
            <w:pPr>
              <w:widowControl/>
              <w:jc w:val="center"/>
              <w:rPr>
                <w:rFonts w:hint="eastAsia" w:eastAsia="宋体"/>
                <w:color w:val="auto"/>
                <w:sz w:val="24"/>
                <w:szCs w:val="24"/>
                <w:highlight w:val="none"/>
                <w:lang w:eastAsia="zh-CN"/>
              </w:rPr>
            </w:pPr>
            <w:r>
              <w:rPr>
                <w:rFonts w:hint="eastAsia"/>
                <w:color w:val="auto"/>
                <w:sz w:val="24"/>
                <w:szCs w:val="24"/>
                <w:highlight w:val="none"/>
                <w:lang w:eastAsia="zh-CN"/>
              </w:rPr>
              <w:t>张学谦</w:t>
            </w:r>
          </w:p>
        </w:tc>
        <w:tc>
          <w:tcPr>
            <w:tcW w:w="2861" w:type="dxa"/>
            <w:gridSpan w:val="7"/>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联系人</w:t>
            </w:r>
          </w:p>
        </w:tc>
        <w:tc>
          <w:tcPr>
            <w:tcW w:w="1459" w:type="dxa"/>
            <w:gridSpan w:val="2"/>
            <w:tcBorders>
              <w:tl2br w:val="nil"/>
              <w:tr2bl w:val="nil"/>
            </w:tcBorders>
            <w:vAlign w:val="center"/>
          </w:tcPr>
          <w:p>
            <w:pPr>
              <w:autoSpaceDE w:val="0"/>
              <w:autoSpaceDN w:val="0"/>
              <w:adjustRightInd w:val="0"/>
              <w:jc w:val="center"/>
              <w:rPr>
                <w:rFonts w:hint="eastAsia" w:eastAsia="宋体"/>
                <w:color w:val="auto"/>
                <w:sz w:val="24"/>
                <w:szCs w:val="24"/>
                <w:highlight w:val="none"/>
                <w:lang w:eastAsia="zh-CN"/>
              </w:rPr>
            </w:pPr>
            <w:r>
              <w:rPr>
                <w:rFonts w:hint="eastAsia"/>
                <w:color w:val="auto"/>
                <w:sz w:val="24"/>
                <w:szCs w:val="24"/>
                <w:highlight w:val="none"/>
                <w:lang w:eastAsia="zh-CN"/>
              </w:rPr>
              <w:t>尹帅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56"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通信地址</w:t>
            </w:r>
          </w:p>
        </w:tc>
        <w:tc>
          <w:tcPr>
            <w:tcW w:w="7411" w:type="dxa"/>
            <w:gridSpan w:val="13"/>
            <w:tcBorders>
              <w:tl2br w:val="nil"/>
              <w:tr2bl w:val="nil"/>
            </w:tcBorders>
            <w:vAlign w:val="center"/>
          </w:tcPr>
          <w:p>
            <w:pPr>
              <w:autoSpaceDE w:val="0"/>
              <w:autoSpaceDN w:val="0"/>
              <w:adjustRightInd w:val="0"/>
              <w:jc w:val="center"/>
              <w:rPr>
                <w:color w:val="auto"/>
                <w:sz w:val="24"/>
                <w:szCs w:val="24"/>
              </w:rPr>
            </w:pPr>
            <w:r>
              <w:rPr>
                <w:rFonts w:hint="default" w:ascii="Times New Roman" w:hAnsi="Times New Roman" w:cs="Times New Roman"/>
                <w:color w:val="auto"/>
                <w:sz w:val="24"/>
                <w:szCs w:val="24"/>
                <w:lang w:val="en-US" w:eastAsia="zh-CN"/>
              </w:rPr>
              <w:t>济南市历下区解放东路3号</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22"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联系电话</w:t>
            </w:r>
          </w:p>
        </w:tc>
        <w:tc>
          <w:tcPr>
            <w:tcW w:w="2322" w:type="dxa"/>
            <w:gridSpan w:val="2"/>
            <w:tcBorders>
              <w:tl2br w:val="nil"/>
              <w:tr2bl w:val="nil"/>
            </w:tcBorders>
            <w:vAlign w:val="center"/>
          </w:tcPr>
          <w:p>
            <w:pPr>
              <w:autoSpaceDE w:val="0"/>
              <w:autoSpaceDN w:val="0"/>
              <w:adjustRightInd w:val="0"/>
              <w:jc w:val="center"/>
              <w:rPr>
                <w:color w:val="auto"/>
                <w:sz w:val="24"/>
                <w:szCs w:val="24"/>
                <w:highlight w:val="none"/>
              </w:rPr>
            </w:pPr>
            <w:r>
              <w:rPr>
                <w:rFonts w:hint="eastAsia"/>
                <w:color w:val="auto"/>
                <w:sz w:val="24"/>
                <w:highlight w:val="none"/>
                <w:lang w:val="en-US" w:eastAsia="zh-CN"/>
              </w:rPr>
              <w:t>15069966187</w:t>
            </w:r>
          </w:p>
        </w:tc>
        <w:tc>
          <w:tcPr>
            <w:tcW w:w="1292" w:type="dxa"/>
            <w:gridSpan w:val="6"/>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传真</w:t>
            </w:r>
          </w:p>
        </w:tc>
        <w:tc>
          <w:tcPr>
            <w:tcW w:w="1348" w:type="dxa"/>
            <w:gridSpan w:val="2"/>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w:t>
            </w:r>
          </w:p>
        </w:tc>
        <w:tc>
          <w:tcPr>
            <w:tcW w:w="1275" w:type="dxa"/>
            <w:gridSpan w:val="2"/>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邮编</w:t>
            </w:r>
          </w:p>
        </w:tc>
        <w:tc>
          <w:tcPr>
            <w:tcW w:w="1174" w:type="dxa"/>
            <w:tcBorders>
              <w:tl2br w:val="nil"/>
              <w:tr2bl w:val="nil"/>
            </w:tcBorders>
            <w:vAlign w:val="center"/>
          </w:tcPr>
          <w:p>
            <w:pPr>
              <w:autoSpaceDE w:val="0"/>
              <w:autoSpaceDN w:val="0"/>
              <w:adjustRightInd w:val="0"/>
              <w:jc w:val="center"/>
              <w:rPr>
                <w:rFonts w:hint="default" w:eastAsia="宋体"/>
                <w:color w:val="auto"/>
                <w:sz w:val="24"/>
                <w:szCs w:val="24"/>
                <w:highlight w:val="none"/>
                <w:lang w:val="en-US" w:eastAsia="zh-CN"/>
              </w:rPr>
            </w:pPr>
            <w:r>
              <w:rPr>
                <w:color w:val="auto"/>
                <w:sz w:val="24"/>
                <w:szCs w:val="24"/>
                <w:highlight w:val="none"/>
              </w:rPr>
              <w:t>2500</w:t>
            </w:r>
            <w:r>
              <w:rPr>
                <w:rFonts w:hint="eastAsia"/>
                <w:color w:val="auto"/>
                <w:sz w:val="24"/>
                <w:szCs w:val="24"/>
                <w:highlight w:val="none"/>
                <w:lang w:val="en-US" w:eastAsia="zh-CN"/>
              </w:rPr>
              <w:t>11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45"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建设地点</w:t>
            </w:r>
          </w:p>
        </w:tc>
        <w:tc>
          <w:tcPr>
            <w:tcW w:w="7411" w:type="dxa"/>
            <w:gridSpan w:val="13"/>
            <w:tcBorders>
              <w:tl2br w:val="nil"/>
              <w:tr2bl w:val="nil"/>
            </w:tcBorders>
            <w:vAlign w:val="center"/>
          </w:tcPr>
          <w:p>
            <w:pPr>
              <w:keepNext w:val="0"/>
              <w:keepLines w:val="0"/>
              <w:pageBreakBefore w:val="0"/>
              <w:widowControl w:val="0"/>
              <w:kinsoku/>
              <w:wordWrap/>
              <w:overflowPunct/>
              <w:topLinePunct w:val="0"/>
              <w:bidi w:val="0"/>
              <w:adjustRightInd/>
              <w:snapToGrid/>
              <w:spacing w:after="0" w:afterLines="0"/>
              <w:jc w:val="center"/>
              <w:textAlignment w:val="auto"/>
              <w:rPr>
                <w:rFonts w:ascii="宋体" w:hAnsi="宋体" w:cs="宋体"/>
                <w:color w:val="auto"/>
                <w:sz w:val="24"/>
                <w:szCs w:val="24"/>
              </w:rPr>
            </w:pPr>
            <w:r>
              <w:rPr>
                <w:rFonts w:hint="eastAsia" w:ascii="宋体" w:hAnsi="宋体" w:cs="宋体"/>
                <w:color w:val="auto"/>
                <w:sz w:val="24"/>
                <w:szCs w:val="24"/>
                <w:lang w:val="en-US" w:eastAsia="zh-CN"/>
              </w:rPr>
              <w:t>山东省肥城市石横镇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45"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项目性质</w:t>
            </w:r>
          </w:p>
        </w:tc>
        <w:tc>
          <w:tcPr>
            <w:tcW w:w="3261" w:type="dxa"/>
            <w:gridSpan w:val="5"/>
            <w:tcBorders>
              <w:tl2br w:val="nil"/>
              <w:tr2bl w:val="nil"/>
            </w:tcBorders>
            <w:vAlign w:val="center"/>
          </w:tcPr>
          <w:p>
            <w:pPr>
              <w:autoSpaceDE w:val="0"/>
              <w:autoSpaceDN w:val="0"/>
              <w:adjustRightInd w:val="0"/>
              <w:jc w:val="center"/>
              <w:rPr>
                <w:rFonts w:hint="eastAsia" w:eastAsia="宋体"/>
                <w:color w:val="auto"/>
                <w:sz w:val="24"/>
                <w:szCs w:val="24"/>
                <w:lang w:eastAsia="zh-CN"/>
              </w:rPr>
            </w:pPr>
            <w:r>
              <w:rPr>
                <w:rFonts w:hint="eastAsia"/>
                <w:color w:val="auto"/>
                <w:sz w:val="24"/>
                <w:szCs w:val="24"/>
                <w:lang w:eastAsia="zh-CN"/>
              </w:rPr>
              <w:t>新建</w:t>
            </w:r>
          </w:p>
        </w:tc>
        <w:tc>
          <w:tcPr>
            <w:tcW w:w="1701" w:type="dxa"/>
            <w:gridSpan w:val="5"/>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行业类别及代码</w:t>
            </w:r>
          </w:p>
        </w:tc>
        <w:tc>
          <w:tcPr>
            <w:tcW w:w="2449" w:type="dxa"/>
            <w:gridSpan w:val="3"/>
            <w:tcBorders>
              <w:tl2br w:val="nil"/>
              <w:tr2bl w:val="nil"/>
            </w:tcBorders>
            <w:vAlign w:val="center"/>
          </w:tcPr>
          <w:p>
            <w:pPr>
              <w:autoSpaceDE w:val="0"/>
              <w:autoSpaceDN w:val="0"/>
              <w:adjustRightInd w:val="0"/>
              <w:jc w:val="center"/>
              <w:rPr>
                <w:rFonts w:hint="default" w:ascii="Times New Roman" w:hAnsi="Times New Roman" w:eastAsia="宋体" w:cs="Times New Roman"/>
                <w:color w:val="auto"/>
                <w:sz w:val="24"/>
                <w:szCs w:val="24"/>
                <w:highlight w:val="none"/>
              </w:rPr>
            </w:pPr>
            <w:r>
              <w:rPr>
                <w:rFonts w:hint="default" w:ascii="Times New Roman" w:hAnsi="Times New Roman" w:eastAsia="宋体" w:cs="Times New Roman"/>
                <w:color w:val="auto"/>
                <w:sz w:val="24"/>
                <w:szCs w:val="24"/>
                <w:highlight w:val="none"/>
              </w:rPr>
              <w:t>146 城市（镇）管网</w:t>
            </w:r>
          </w:p>
          <w:p>
            <w:pPr>
              <w:autoSpaceDE w:val="0"/>
              <w:autoSpaceDN w:val="0"/>
              <w:adjustRightInd w:val="0"/>
              <w:jc w:val="center"/>
              <w:rPr>
                <w:color w:val="auto"/>
                <w:sz w:val="24"/>
                <w:szCs w:val="24"/>
                <w:highlight w:val="none"/>
              </w:rPr>
            </w:pPr>
            <w:r>
              <w:rPr>
                <w:rFonts w:hint="default" w:ascii="Times New Roman" w:hAnsi="Times New Roman" w:eastAsia="宋体" w:cs="Times New Roman"/>
                <w:color w:val="auto"/>
                <w:sz w:val="24"/>
                <w:szCs w:val="24"/>
                <w:highlight w:val="none"/>
              </w:rPr>
              <w:t>及管廊建设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72" w:hRule="atLeast"/>
          <w:jc w:val="center"/>
        </w:trPr>
        <w:tc>
          <w:tcPr>
            <w:tcW w:w="2283" w:type="dxa"/>
            <w:gridSpan w:val="2"/>
            <w:tcBorders>
              <w:tl2br w:val="nil"/>
              <w:tr2bl w:val="nil"/>
            </w:tcBorders>
            <w:vAlign w:val="center"/>
          </w:tcPr>
          <w:p>
            <w:pPr>
              <w:autoSpaceDE w:val="0"/>
              <w:autoSpaceDN w:val="0"/>
              <w:adjustRightInd w:val="0"/>
              <w:jc w:val="center"/>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环境影响报告表名称</w:t>
            </w:r>
          </w:p>
        </w:tc>
        <w:tc>
          <w:tcPr>
            <w:tcW w:w="7411" w:type="dxa"/>
            <w:gridSpan w:val="13"/>
            <w:tcBorders>
              <w:tl2br w:val="nil"/>
              <w:tr2bl w:val="nil"/>
            </w:tcBorders>
            <w:vAlign w:val="center"/>
          </w:tcPr>
          <w:p>
            <w:pPr>
              <w:autoSpaceDE w:val="0"/>
              <w:autoSpaceDN w:val="0"/>
              <w:adjustRightInd w:val="0"/>
              <w:jc w:val="center"/>
              <w:rPr>
                <w:rFonts w:hint="eastAsia" w:ascii="宋体" w:hAnsi="宋体" w:cs="宋体"/>
                <w:color w:val="auto"/>
                <w:sz w:val="24"/>
                <w:szCs w:val="24"/>
                <w:lang w:val="en-US" w:eastAsia="zh-CN"/>
              </w:rPr>
            </w:pPr>
            <w:r>
              <w:rPr>
                <w:rFonts w:hint="eastAsia" w:ascii="宋体" w:hAnsi="宋体" w:cs="宋体"/>
                <w:color w:val="auto"/>
                <w:sz w:val="24"/>
                <w:szCs w:val="24"/>
                <w:lang w:val="en-US" w:eastAsia="zh-CN"/>
              </w:rPr>
              <w:t>济南热力有限公司石热入济长距离输送供热工程（泰安段）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25"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环境影响评价单位</w:t>
            </w:r>
          </w:p>
        </w:tc>
        <w:tc>
          <w:tcPr>
            <w:tcW w:w="7411" w:type="dxa"/>
            <w:gridSpan w:val="13"/>
            <w:tcBorders>
              <w:tl2br w:val="nil"/>
              <w:tr2bl w:val="nil"/>
            </w:tcBorders>
            <w:vAlign w:val="center"/>
          </w:tcPr>
          <w:p>
            <w:pPr>
              <w:autoSpaceDE w:val="0"/>
              <w:autoSpaceDN w:val="0"/>
              <w:adjustRightInd w:val="0"/>
              <w:jc w:val="center"/>
              <w:rPr>
                <w:color w:val="auto"/>
                <w:sz w:val="24"/>
                <w:szCs w:val="24"/>
              </w:rPr>
            </w:pPr>
            <w:r>
              <w:rPr>
                <w:rFonts w:hint="eastAsia" w:ascii="Times New Roman" w:hAnsi="Times New Roman" w:eastAsia="宋体" w:cs="Times New Roman"/>
                <w:color w:val="auto"/>
                <w:sz w:val="24"/>
                <w:szCs w:val="24"/>
                <w:lang w:val="en-US" w:eastAsia="zh-CN"/>
              </w:rPr>
              <w:t>山东</w:t>
            </w:r>
            <w:r>
              <w:rPr>
                <w:rFonts w:hint="eastAsia" w:cs="Times New Roman"/>
                <w:color w:val="auto"/>
                <w:sz w:val="24"/>
                <w:szCs w:val="24"/>
                <w:lang w:val="en-US" w:eastAsia="zh-CN"/>
              </w:rPr>
              <w:t>优纳特环境科技</w:t>
            </w:r>
            <w:r>
              <w:rPr>
                <w:rFonts w:hint="eastAsia" w:ascii="Times New Roman" w:hAnsi="Times New Roman" w:eastAsia="宋体" w:cs="Times New Roman"/>
                <w:color w:val="auto"/>
                <w:sz w:val="24"/>
                <w:szCs w:val="24"/>
                <w:lang w:val="en-US" w:eastAsia="zh-CN"/>
              </w:rPr>
              <w:t>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545"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初步设计单位</w:t>
            </w:r>
          </w:p>
        </w:tc>
        <w:tc>
          <w:tcPr>
            <w:tcW w:w="7411" w:type="dxa"/>
            <w:gridSpan w:val="13"/>
            <w:tcBorders>
              <w:tl2br w:val="nil"/>
              <w:tr2bl w:val="nil"/>
            </w:tcBorders>
            <w:vAlign w:val="center"/>
          </w:tcPr>
          <w:p>
            <w:pPr>
              <w:autoSpaceDE w:val="0"/>
              <w:autoSpaceDN w:val="0"/>
              <w:adjustRightInd w:val="0"/>
              <w:jc w:val="center"/>
              <w:rPr>
                <w:color w:val="auto"/>
                <w:sz w:val="24"/>
                <w:szCs w:val="24"/>
                <w:highlight w:val="none"/>
              </w:rPr>
            </w:pPr>
            <w:r>
              <w:rPr>
                <w:rFonts w:hint="eastAsia"/>
                <w:color w:val="auto"/>
                <w:sz w:val="24"/>
                <w:szCs w:val="24"/>
                <w:highlight w:val="none"/>
                <w:lang w:val="en-US" w:eastAsia="zh-CN"/>
              </w:rPr>
              <w:t>济南城投设计有限公司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89"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环境影响评价</w:t>
            </w:r>
          </w:p>
          <w:p>
            <w:pPr>
              <w:autoSpaceDE w:val="0"/>
              <w:autoSpaceDN w:val="0"/>
              <w:adjustRightInd w:val="0"/>
              <w:jc w:val="center"/>
              <w:rPr>
                <w:color w:val="auto"/>
                <w:sz w:val="24"/>
                <w:szCs w:val="24"/>
              </w:rPr>
            </w:pPr>
            <w:r>
              <w:rPr>
                <w:color w:val="auto"/>
                <w:sz w:val="24"/>
                <w:szCs w:val="24"/>
              </w:rPr>
              <w:t>审批部门</w:t>
            </w:r>
          </w:p>
        </w:tc>
        <w:tc>
          <w:tcPr>
            <w:tcW w:w="2322" w:type="dxa"/>
            <w:gridSpan w:val="2"/>
            <w:tcBorders>
              <w:tl2br w:val="nil"/>
              <w:tr2bl w:val="nil"/>
            </w:tcBorders>
            <w:vAlign w:val="center"/>
          </w:tcPr>
          <w:p>
            <w:pPr>
              <w:autoSpaceDE w:val="0"/>
              <w:autoSpaceDN w:val="0"/>
              <w:adjustRightInd w:val="0"/>
              <w:jc w:val="center"/>
              <w:rPr>
                <w:rFonts w:hint="eastAsia" w:eastAsia="宋体"/>
                <w:color w:val="auto"/>
                <w:sz w:val="24"/>
                <w:szCs w:val="24"/>
                <w:lang w:eastAsia="zh-CN"/>
              </w:rPr>
            </w:pPr>
            <w:r>
              <w:rPr>
                <w:rFonts w:hint="eastAsia"/>
                <w:color w:val="auto"/>
                <w:sz w:val="24"/>
                <w:szCs w:val="24"/>
                <w:lang w:eastAsia="zh-CN"/>
              </w:rPr>
              <w:t>泰安</w:t>
            </w:r>
            <w:r>
              <w:rPr>
                <w:rFonts w:hint="eastAsia"/>
                <w:color w:val="auto"/>
                <w:sz w:val="24"/>
                <w:szCs w:val="24"/>
              </w:rPr>
              <w:t>市</w:t>
            </w:r>
            <w:r>
              <w:rPr>
                <w:rFonts w:hint="eastAsia"/>
                <w:color w:val="auto"/>
                <w:sz w:val="24"/>
                <w:szCs w:val="24"/>
                <w:lang w:eastAsia="zh-CN"/>
              </w:rPr>
              <w:t>生态环境</w:t>
            </w:r>
            <w:r>
              <w:rPr>
                <w:rFonts w:hint="eastAsia"/>
                <w:color w:val="auto"/>
                <w:sz w:val="24"/>
                <w:szCs w:val="24"/>
              </w:rPr>
              <w:t>局</w:t>
            </w:r>
          </w:p>
        </w:tc>
        <w:tc>
          <w:tcPr>
            <w:tcW w:w="1160" w:type="dxa"/>
            <w:gridSpan w:val="5"/>
            <w:tcBorders>
              <w:tl2br w:val="nil"/>
              <w:tr2bl w:val="nil"/>
            </w:tcBorders>
            <w:vAlign w:val="center"/>
          </w:tcPr>
          <w:p>
            <w:pPr>
              <w:autoSpaceDE w:val="0"/>
              <w:autoSpaceDN w:val="0"/>
              <w:adjustRightInd w:val="0"/>
              <w:jc w:val="center"/>
              <w:rPr>
                <w:color w:val="auto"/>
                <w:sz w:val="24"/>
                <w:szCs w:val="24"/>
              </w:rPr>
            </w:pPr>
            <w:r>
              <w:rPr>
                <w:color w:val="auto"/>
                <w:sz w:val="24"/>
                <w:szCs w:val="24"/>
              </w:rPr>
              <w:t>审批文号</w:t>
            </w:r>
          </w:p>
        </w:tc>
        <w:tc>
          <w:tcPr>
            <w:tcW w:w="1480" w:type="dxa"/>
            <w:gridSpan w:val="3"/>
            <w:tcBorders>
              <w:tl2br w:val="nil"/>
              <w:tr2bl w:val="nil"/>
            </w:tcBorders>
            <w:vAlign w:val="center"/>
          </w:tcPr>
          <w:p>
            <w:pPr>
              <w:autoSpaceDE w:val="0"/>
              <w:autoSpaceDN w:val="0"/>
              <w:adjustRightInd w:val="0"/>
              <w:jc w:val="center"/>
              <w:rPr>
                <w:rFonts w:hint="eastAsia" w:ascii="Times New Roman" w:hAnsi="Times New Roman" w:eastAsia="宋体" w:cs="Times New Roman"/>
                <w:color w:val="auto"/>
                <w:sz w:val="24"/>
                <w:szCs w:val="24"/>
                <w:lang w:eastAsia="zh-CN"/>
              </w:rPr>
            </w:pPr>
            <w:r>
              <w:rPr>
                <w:rFonts w:hint="eastAsia" w:cs="Times New Roman"/>
                <w:color w:val="auto"/>
                <w:sz w:val="24"/>
                <w:szCs w:val="24"/>
                <w:lang w:eastAsia="zh-CN"/>
              </w:rPr>
              <w:t>泰肥环境审报告表</w:t>
            </w:r>
            <w:r>
              <w:rPr>
                <w:rFonts w:hint="eastAsia" w:ascii="Times New Roman" w:hAnsi="Times New Roman" w:eastAsia="宋体" w:cs="Times New Roman"/>
                <w:color w:val="auto"/>
                <w:sz w:val="24"/>
                <w:szCs w:val="24"/>
                <w:lang w:eastAsia="zh-CN"/>
              </w:rPr>
              <w:t>〔20</w:t>
            </w:r>
            <w:r>
              <w:rPr>
                <w:rFonts w:hint="eastAsia"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3</w:t>
            </w:r>
            <w:r>
              <w:rPr>
                <w:rFonts w:hint="eastAsia" w:ascii="Times New Roman" w:hAnsi="Times New Roman" w:eastAsia="宋体" w:cs="Times New Roman"/>
                <w:color w:val="auto"/>
                <w:sz w:val="24"/>
                <w:szCs w:val="24"/>
                <w:lang w:eastAsia="zh-CN"/>
              </w:rPr>
              <w:t>〕</w:t>
            </w:r>
          </w:p>
          <w:p>
            <w:pPr>
              <w:autoSpaceDE w:val="0"/>
              <w:autoSpaceDN w:val="0"/>
              <w:adjustRightInd w:val="0"/>
              <w:jc w:val="center"/>
              <w:rPr>
                <w:rFonts w:hint="eastAsia"/>
                <w:color w:val="auto"/>
                <w:lang w:eastAsia="zh-CN"/>
              </w:rPr>
            </w:pPr>
            <w:r>
              <w:rPr>
                <w:rFonts w:hint="eastAsia" w:cs="Times New Roman"/>
                <w:color w:val="auto"/>
                <w:sz w:val="24"/>
                <w:szCs w:val="24"/>
                <w:lang w:val="en-US" w:eastAsia="zh-CN"/>
              </w:rPr>
              <w:t>31</w:t>
            </w:r>
            <w:r>
              <w:rPr>
                <w:rFonts w:hint="eastAsia"/>
                <w:color w:val="auto"/>
                <w:kern w:val="0"/>
                <w:sz w:val="24"/>
                <w:szCs w:val="24"/>
                <w:lang w:val="en-US" w:eastAsia="zh-CN"/>
              </w:rPr>
              <w:t>号</w:t>
            </w:r>
          </w:p>
        </w:tc>
        <w:tc>
          <w:tcPr>
            <w:tcW w:w="1275"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审批时间</w:t>
            </w:r>
          </w:p>
        </w:tc>
        <w:tc>
          <w:tcPr>
            <w:tcW w:w="1174" w:type="dxa"/>
            <w:tcBorders>
              <w:tl2br w:val="nil"/>
              <w:tr2bl w:val="nil"/>
            </w:tcBorders>
            <w:vAlign w:val="center"/>
          </w:tcPr>
          <w:p>
            <w:pPr>
              <w:autoSpaceDE w:val="0"/>
              <w:autoSpaceDN w:val="0"/>
              <w:adjustRightInd w:val="0"/>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eastAsia="zh-CN"/>
              </w:rPr>
              <w:t>20</w:t>
            </w:r>
            <w:r>
              <w:rPr>
                <w:rFonts w:hint="eastAsia"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3年</w:t>
            </w:r>
          </w:p>
          <w:p>
            <w:pPr>
              <w:autoSpaceDE w:val="0"/>
              <w:autoSpaceDN w:val="0"/>
              <w:adjustRightInd w:val="0"/>
              <w:jc w:val="center"/>
              <w:rPr>
                <w:rFonts w:hint="default" w:ascii="Times New Roman" w:hAnsi="Times New Roman" w:eastAsia="宋体" w:cs="Times New Roman"/>
                <w:color w:val="auto"/>
                <w:sz w:val="24"/>
                <w:szCs w:val="24"/>
                <w:lang w:val="en-US" w:eastAsia="zh-CN"/>
              </w:rPr>
            </w:pPr>
            <w:r>
              <w:rPr>
                <w:rFonts w:hint="eastAsia" w:cs="Times New Roman"/>
                <w:color w:val="auto"/>
                <w:sz w:val="24"/>
                <w:szCs w:val="24"/>
                <w:lang w:val="en-US" w:eastAsia="zh-CN"/>
              </w:rPr>
              <w:t>07</w:t>
            </w:r>
            <w:r>
              <w:rPr>
                <w:rFonts w:hint="eastAsia" w:ascii="Times New Roman" w:hAnsi="Times New Roman" w:eastAsia="宋体" w:cs="Times New Roman"/>
                <w:color w:val="auto"/>
                <w:sz w:val="24"/>
                <w:szCs w:val="24"/>
                <w:lang w:val="en-US" w:eastAsia="zh-CN"/>
              </w:rPr>
              <w:t>月</w:t>
            </w:r>
            <w:r>
              <w:rPr>
                <w:rFonts w:hint="eastAsia" w:cs="Times New Roman"/>
                <w:color w:val="auto"/>
                <w:sz w:val="24"/>
                <w:szCs w:val="24"/>
                <w:lang w:val="en-US" w:eastAsia="zh-CN"/>
              </w:rPr>
              <w:t>19</w:t>
            </w:r>
            <w:r>
              <w:rPr>
                <w:rFonts w:hint="eastAsia" w:ascii="Times New Roman" w:hAnsi="Times New Roman" w:eastAsia="宋体" w:cs="Times New Roman"/>
                <w:color w:val="auto"/>
                <w:sz w:val="24"/>
                <w:szCs w:val="24"/>
                <w:lang w:val="en-US" w:eastAsia="zh-CN"/>
              </w:rPr>
              <w:t>日</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88"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可研报告审批部门</w:t>
            </w:r>
          </w:p>
        </w:tc>
        <w:tc>
          <w:tcPr>
            <w:tcW w:w="2322"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w:t>
            </w:r>
          </w:p>
        </w:tc>
        <w:tc>
          <w:tcPr>
            <w:tcW w:w="1160" w:type="dxa"/>
            <w:gridSpan w:val="5"/>
            <w:tcBorders>
              <w:tl2br w:val="nil"/>
              <w:tr2bl w:val="nil"/>
            </w:tcBorders>
            <w:vAlign w:val="center"/>
          </w:tcPr>
          <w:p>
            <w:pPr>
              <w:autoSpaceDE w:val="0"/>
              <w:autoSpaceDN w:val="0"/>
              <w:adjustRightInd w:val="0"/>
              <w:jc w:val="center"/>
              <w:rPr>
                <w:color w:val="auto"/>
                <w:sz w:val="24"/>
                <w:szCs w:val="24"/>
              </w:rPr>
            </w:pPr>
            <w:r>
              <w:rPr>
                <w:color w:val="auto"/>
                <w:sz w:val="24"/>
                <w:szCs w:val="24"/>
              </w:rPr>
              <w:t>审批文号</w:t>
            </w:r>
          </w:p>
        </w:tc>
        <w:tc>
          <w:tcPr>
            <w:tcW w:w="1480" w:type="dxa"/>
            <w:gridSpan w:val="3"/>
            <w:tcBorders>
              <w:tl2br w:val="nil"/>
              <w:tr2bl w:val="nil"/>
            </w:tcBorders>
            <w:vAlign w:val="center"/>
          </w:tcPr>
          <w:p>
            <w:pPr>
              <w:autoSpaceDE w:val="0"/>
              <w:autoSpaceDN w:val="0"/>
              <w:adjustRightInd w:val="0"/>
              <w:jc w:val="center"/>
              <w:rPr>
                <w:color w:val="auto"/>
                <w:sz w:val="24"/>
                <w:szCs w:val="24"/>
              </w:rPr>
            </w:pPr>
            <w:r>
              <w:rPr>
                <w:color w:val="auto"/>
                <w:sz w:val="24"/>
                <w:szCs w:val="24"/>
              </w:rPr>
              <w:t>--</w:t>
            </w:r>
          </w:p>
        </w:tc>
        <w:tc>
          <w:tcPr>
            <w:tcW w:w="1275"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审批时间</w:t>
            </w:r>
          </w:p>
        </w:tc>
        <w:tc>
          <w:tcPr>
            <w:tcW w:w="1174" w:type="dxa"/>
            <w:tcBorders>
              <w:tl2br w:val="nil"/>
              <w:tr2bl w:val="nil"/>
            </w:tcBorders>
            <w:vAlign w:val="center"/>
          </w:tcPr>
          <w:p>
            <w:pPr>
              <w:autoSpaceDE w:val="0"/>
              <w:autoSpaceDN w:val="0"/>
              <w:adjustRightInd w:val="0"/>
              <w:jc w:val="center"/>
              <w:rPr>
                <w:color w:val="auto"/>
                <w:sz w:val="24"/>
                <w:szCs w:val="24"/>
              </w:rPr>
            </w:pPr>
            <w:r>
              <w:rPr>
                <w:color w:val="auto"/>
                <w:sz w:val="24"/>
                <w:szCs w:val="24"/>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17"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环境保护设施</w:t>
            </w:r>
          </w:p>
          <w:p>
            <w:pPr>
              <w:autoSpaceDE w:val="0"/>
              <w:autoSpaceDN w:val="0"/>
              <w:adjustRightInd w:val="0"/>
              <w:jc w:val="center"/>
              <w:rPr>
                <w:color w:val="auto"/>
                <w:sz w:val="24"/>
                <w:szCs w:val="24"/>
              </w:rPr>
            </w:pPr>
            <w:r>
              <w:rPr>
                <w:color w:val="auto"/>
                <w:sz w:val="24"/>
                <w:szCs w:val="24"/>
              </w:rPr>
              <w:t>设计单位</w:t>
            </w:r>
          </w:p>
        </w:tc>
        <w:tc>
          <w:tcPr>
            <w:tcW w:w="7411" w:type="dxa"/>
            <w:gridSpan w:val="13"/>
            <w:tcBorders>
              <w:tl2br w:val="nil"/>
              <w:tr2bl w:val="nil"/>
            </w:tcBorders>
            <w:vAlign w:val="center"/>
          </w:tcPr>
          <w:p>
            <w:pPr>
              <w:autoSpaceDE w:val="0"/>
              <w:autoSpaceDN w:val="0"/>
              <w:adjustRightInd w:val="0"/>
              <w:jc w:val="center"/>
              <w:rPr>
                <w:color w:val="auto"/>
                <w:sz w:val="24"/>
                <w:szCs w:val="24"/>
              </w:rPr>
            </w:pPr>
            <w:r>
              <w:rPr>
                <w:rFonts w:hint="eastAsia"/>
                <w:color w:val="auto"/>
                <w:sz w:val="24"/>
                <w:szCs w:val="24"/>
                <w:lang w:val="en-US" w:eastAsia="zh-CN"/>
              </w:rPr>
              <w:t>济南城投设计有限公司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73"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环境保护设施</w:t>
            </w:r>
          </w:p>
          <w:p>
            <w:pPr>
              <w:autoSpaceDE w:val="0"/>
              <w:autoSpaceDN w:val="0"/>
              <w:adjustRightInd w:val="0"/>
              <w:jc w:val="center"/>
              <w:rPr>
                <w:color w:val="auto"/>
                <w:sz w:val="24"/>
                <w:szCs w:val="24"/>
              </w:rPr>
            </w:pPr>
            <w:r>
              <w:rPr>
                <w:color w:val="auto"/>
                <w:sz w:val="24"/>
                <w:szCs w:val="24"/>
              </w:rPr>
              <w:t>施工单位</w:t>
            </w:r>
          </w:p>
        </w:tc>
        <w:tc>
          <w:tcPr>
            <w:tcW w:w="7411" w:type="dxa"/>
            <w:gridSpan w:val="13"/>
            <w:tcBorders>
              <w:tl2br w:val="nil"/>
              <w:tr2bl w:val="nil"/>
            </w:tcBorders>
            <w:vAlign w:val="center"/>
          </w:tcPr>
          <w:p>
            <w:pPr>
              <w:autoSpaceDE w:val="0"/>
              <w:autoSpaceDN w:val="0"/>
              <w:adjustRightInd w:val="0"/>
              <w:jc w:val="center"/>
              <w:rPr>
                <w:color w:val="auto"/>
                <w:sz w:val="24"/>
                <w:szCs w:val="24"/>
              </w:rPr>
            </w:pPr>
            <w:r>
              <w:rPr>
                <w:rFonts w:hint="eastAsia" w:ascii="宋体" w:hAnsi="宋体" w:cs="宋体"/>
                <w:color w:val="auto"/>
                <w:kern w:val="0"/>
                <w:sz w:val="24"/>
                <w:szCs w:val="24"/>
                <w:lang w:eastAsia="zh-CN" w:bidi="ar"/>
              </w:rPr>
              <w:t>济南能源工程集团有限公司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97"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环境保护设施</w:t>
            </w:r>
          </w:p>
          <w:p>
            <w:pPr>
              <w:autoSpaceDE w:val="0"/>
              <w:autoSpaceDN w:val="0"/>
              <w:adjustRightInd w:val="0"/>
              <w:jc w:val="center"/>
              <w:rPr>
                <w:color w:val="auto"/>
                <w:sz w:val="24"/>
                <w:szCs w:val="24"/>
              </w:rPr>
            </w:pPr>
            <w:r>
              <w:rPr>
                <w:color w:val="auto"/>
                <w:sz w:val="24"/>
                <w:szCs w:val="24"/>
              </w:rPr>
              <w:t>调查单位</w:t>
            </w:r>
          </w:p>
        </w:tc>
        <w:tc>
          <w:tcPr>
            <w:tcW w:w="7411" w:type="dxa"/>
            <w:gridSpan w:val="13"/>
            <w:tcBorders>
              <w:tl2br w:val="nil"/>
              <w:tr2bl w:val="nil"/>
            </w:tcBorders>
            <w:vAlign w:val="center"/>
          </w:tcPr>
          <w:p>
            <w:pPr>
              <w:autoSpaceDE w:val="0"/>
              <w:autoSpaceDN w:val="0"/>
              <w:adjustRightInd w:val="0"/>
              <w:jc w:val="center"/>
              <w:rPr>
                <w:color w:val="auto"/>
                <w:sz w:val="24"/>
                <w:szCs w:val="24"/>
              </w:rPr>
            </w:pPr>
            <w:r>
              <w:rPr>
                <w:rFonts w:hint="eastAsia" w:ascii="宋体" w:hAnsi="宋体" w:cs="宋体"/>
                <w:color w:val="auto"/>
                <w:kern w:val="0"/>
                <w:sz w:val="24"/>
                <w:szCs w:val="24"/>
                <w:lang w:eastAsia="zh-CN" w:bidi="ar"/>
              </w:rPr>
              <w:t>山东蓝昕环保测试分析</w:t>
            </w:r>
            <w:r>
              <w:rPr>
                <w:rFonts w:hint="default" w:ascii="宋体" w:hAnsi="宋体" w:cs="宋体"/>
                <w:color w:val="auto"/>
                <w:kern w:val="0"/>
                <w:sz w:val="24"/>
                <w:szCs w:val="24"/>
                <w:lang w:eastAsia="zh-CN" w:bidi="ar"/>
              </w:rPr>
              <w:t>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06"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投资总概算</w:t>
            </w:r>
          </w:p>
          <w:p>
            <w:pPr>
              <w:autoSpaceDE w:val="0"/>
              <w:autoSpaceDN w:val="0"/>
              <w:adjustRightInd w:val="0"/>
              <w:jc w:val="center"/>
              <w:rPr>
                <w:color w:val="auto"/>
                <w:sz w:val="24"/>
                <w:szCs w:val="24"/>
              </w:rPr>
            </w:pPr>
            <w:r>
              <w:rPr>
                <w:color w:val="auto"/>
                <w:sz w:val="24"/>
                <w:szCs w:val="24"/>
              </w:rPr>
              <w:t>（万元）</w:t>
            </w:r>
          </w:p>
        </w:tc>
        <w:tc>
          <w:tcPr>
            <w:tcW w:w="1159" w:type="dxa"/>
            <w:tcBorders>
              <w:tl2br w:val="nil"/>
              <w:tr2bl w:val="nil"/>
            </w:tcBorders>
            <w:vAlign w:val="center"/>
          </w:tcPr>
          <w:p>
            <w:pPr>
              <w:autoSpaceDE w:val="0"/>
              <w:autoSpaceDN w:val="0"/>
              <w:adjustRightInd w:val="0"/>
              <w:jc w:val="center"/>
              <w:rPr>
                <w:rFonts w:hint="default" w:eastAsia="宋体"/>
                <w:color w:val="auto"/>
                <w:sz w:val="24"/>
                <w:szCs w:val="24"/>
                <w:lang w:val="en-US" w:eastAsia="zh-CN"/>
              </w:rPr>
            </w:pPr>
            <w:r>
              <w:rPr>
                <w:rFonts w:hint="eastAsia"/>
                <w:color w:val="auto"/>
                <w:sz w:val="24"/>
                <w:lang w:val="en-US" w:eastAsia="zh-CN"/>
              </w:rPr>
              <w:t>21168</w:t>
            </w:r>
          </w:p>
        </w:tc>
        <w:tc>
          <w:tcPr>
            <w:tcW w:w="2232" w:type="dxa"/>
            <w:gridSpan w:val="5"/>
            <w:tcBorders>
              <w:tl2br w:val="nil"/>
              <w:tr2bl w:val="nil"/>
            </w:tcBorders>
            <w:vAlign w:val="center"/>
          </w:tcPr>
          <w:p>
            <w:pPr>
              <w:autoSpaceDE w:val="0"/>
              <w:autoSpaceDN w:val="0"/>
              <w:adjustRightInd w:val="0"/>
              <w:jc w:val="center"/>
              <w:rPr>
                <w:color w:val="auto"/>
                <w:sz w:val="24"/>
                <w:szCs w:val="24"/>
              </w:rPr>
            </w:pPr>
            <w:r>
              <w:rPr>
                <w:color w:val="auto"/>
                <w:sz w:val="24"/>
                <w:szCs w:val="24"/>
              </w:rPr>
              <w:t>其中：环境</w:t>
            </w:r>
          </w:p>
          <w:p>
            <w:pPr>
              <w:autoSpaceDE w:val="0"/>
              <w:autoSpaceDN w:val="0"/>
              <w:adjustRightInd w:val="0"/>
              <w:jc w:val="center"/>
              <w:rPr>
                <w:color w:val="auto"/>
                <w:sz w:val="24"/>
                <w:szCs w:val="24"/>
              </w:rPr>
            </w:pPr>
            <w:r>
              <w:rPr>
                <w:color w:val="auto"/>
                <w:sz w:val="24"/>
                <w:szCs w:val="24"/>
              </w:rPr>
              <w:t>保护投资（万元）</w:t>
            </w:r>
          </w:p>
        </w:tc>
        <w:tc>
          <w:tcPr>
            <w:tcW w:w="993" w:type="dxa"/>
            <w:gridSpan w:val="3"/>
            <w:tcBorders>
              <w:tl2br w:val="nil"/>
              <w:tr2bl w:val="nil"/>
            </w:tcBorders>
            <w:vAlign w:val="center"/>
          </w:tcPr>
          <w:p>
            <w:pPr>
              <w:autoSpaceDE w:val="0"/>
              <w:autoSpaceDN w:val="0"/>
              <w:adjustRightInd w:val="0"/>
              <w:jc w:val="center"/>
              <w:rPr>
                <w:rFonts w:hint="default" w:eastAsia="宋体"/>
                <w:color w:val="auto"/>
                <w:sz w:val="24"/>
                <w:szCs w:val="24"/>
                <w:lang w:val="en-US" w:eastAsia="zh-CN"/>
              </w:rPr>
            </w:pPr>
            <w:r>
              <w:rPr>
                <w:rFonts w:hint="eastAsia"/>
                <w:color w:val="auto"/>
                <w:sz w:val="24"/>
                <w:lang w:val="en-US" w:eastAsia="zh-CN"/>
              </w:rPr>
              <w:t>250</w:t>
            </w:r>
          </w:p>
        </w:tc>
        <w:tc>
          <w:tcPr>
            <w:tcW w:w="1853" w:type="dxa"/>
            <w:gridSpan w:val="3"/>
            <w:tcBorders>
              <w:tl2br w:val="nil"/>
              <w:tr2bl w:val="nil"/>
            </w:tcBorders>
            <w:vAlign w:val="center"/>
          </w:tcPr>
          <w:p>
            <w:pPr>
              <w:autoSpaceDE w:val="0"/>
              <w:autoSpaceDN w:val="0"/>
              <w:adjustRightInd w:val="0"/>
              <w:jc w:val="center"/>
              <w:rPr>
                <w:color w:val="auto"/>
                <w:sz w:val="24"/>
                <w:szCs w:val="24"/>
              </w:rPr>
            </w:pPr>
            <w:r>
              <w:rPr>
                <w:color w:val="auto"/>
                <w:sz w:val="24"/>
                <w:szCs w:val="24"/>
              </w:rPr>
              <w:t>环保投资占</w:t>
            </w:r>
          </w:p>
          <w:p>
            <w:pPr>
              <w:autoSpaceDE w:val="0"/>
              <w:autoSpaceDN w:val="0"/>
              <w:adjustRightInd w:val="0"/>
              <w:jc w:val="center"/>
              <w:rPr>
                <w:color w:val="auto"/>
                <w:sz w:val="24"/>
                <w:szCs w:val="24"/>
              </w:rPr>
            </w:pPr>
            <w:r>
              <w:rPr>
                <w:color w:val="auto"/>
                <w:sz w:val="24"/>
                <w:szCs w:val="24"/>
              </w:rPr>
              <w:t>总投资比例</w:t>
            </w:r>
          </w:p>
        </w:tc>
        <w:tc>
          <w:tcPr>
            <w:tcW w:w="1174" w:type="dxa"/>
            <w:tcBorders>
              <w:tl2br w:val="nil"/>
              <w:tr2bl w:val="nil"/>
            </w:tcBorders>
            <w:vAlign w:val="center"/>
          </w:tcPr>
          <w:p>
            <w:pPr>
              <w:autoSpaceDE w:val="0"/>
              <w:autoSpaceDN w:val="0"/>
              <w:adjustRightInd w:val="0"/>
              <w:jc w:val="center"/>
              <w:rPr>
                <w:rFonts w:hint="default" w:eastAsia="宋体"/>
                <w:color w:val="auto"/>
                <w:sz w:val="24"/>
                <w:szCs w:val="24"/>
                <w:lang w:val="en-US" w:eastAsia="zh-CN"/>
              </w:rPr>
            </w:pPr>
            <w:r>
              <w:rPr>
                <w:rFonts w:hint="eastAsia"/>
                <w:color w:val="auto"/>
                <w:sz w:val="24"/>
                <w:lang w:val="en-US" w:eastAsia="zh-CN"/>
              </w:rPr>
              <w:t>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46"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实际总投资</w:t>
            </w:r>
          </w:p>
          <w:p>
            <w:pPr>
              <w:autoSpaceDE w:val="0"/>
              <w:autoSpaceDN w:val="0"/>
              <w:adjustRightInd w:val="0"/>
              <w:jc w:val="center"/>
              <w:rPr>
                <w:color w:val="auto"/>
                <w:sz w:val="24"/>
                <w:szCs w:val="24"/>
              </w:rPr>
            </w:pPr>
            <w:r>
              <w:rPr>
                <w:color w:val="auto"/>
                <w:sz w:val="24"/>
                <w:szCs w:val="24"/>
              </w:rPr>
              <w:t>（万元）</w:t>
            </w:r>
          </w:p>
        </w:tc>
        <w:tc>
          <w:tcPr>
            <w:tcW w:w="1159" w:type="dxa"/>
            <w:tcBorders>
              <w:tl2br w:val="nil"/>
              <w:tr2bl w:val="nil"/>
            </w:tcBorders>
            <w:vAlign w:val="center"/>
          </w:tcPr>
          <w:p>
            <w:pPr>
              <w:autoSpaceDE w:val="0"/>
              <w:autoSpaceDN w:val="0"/>
              <w:adjustRightInd w:val="0"/>
              <w:jc w:val="center"/>
              <w:rPr>
                <w:rFonts w:hint="default" w:eastAsia="宋体"/>
                <w:color w:val="auto"/>
                <w:sz w:val="24"/>
                <w:szCs w:val="24"/>
                <w:lang w:val="en-US" w:eastAsia="zh-CN"/>
              </w:rPr>
            </w:pPr>
            <w:r>
              <w:rPr>
                <w:rFonts w:hint="eastAsia"/>
                <w:color w:val="auto"/>
                <w:sz w:val="24"/>
                <w:lang w:val="en-US" w:eastAsia="zh-CN"/>
              </w:rPr>
              <w:t>21168</w:t>
            </w:r>
          </w:p>
        </w:tc>
        <w:tc>
          <w:tcPr>
            <w:tcW w:w="2232" w:type="dxa"/>
            <w:gridSpan w:val="5"/>
            <w:tcBorders>
              <w:tl2br w:val="nil"/>
              <w:tr2bl w:val="nil"/>
            </w:tcBorders>
            <w:vAlign w:val="center"/>
          </w:tcPr>
          <w:p>
            <w:pPr>
              <w:autoSpaceDE w:val="0"/>
              <w:autoSpaceDN w:val="0"/>
              <w:adjustRightInd w:val="0"/>
              <w:jc w:val="center"/>
              <w:rPr>
                <w:rFonts w:hint="eastAsia" w:eastAsia="宋体"/>
                <w:color w:val="auto"/>
                <w:sz w:val="24"/>
                <w:szCs w:val="24"/>
                <w:highlight w:val="none"/>
                <w:lang w:val="en-US" w:eastAsia="zh-CN"/>
              </w:rPr>
            </w:pPr>
            <w:r>
              <w:rPr>
                <w:color w:val="auto"/>
                <w:sz w:val="24"/>
                <w:szCs w:val="24"/>
                <w:highlight w:val="none"/>
              </w:rPr>
              <w:t>其中：</w:t>
            </w:r>
            <w:r>
              <w:rPr>
                <w:rFonts w:hint="eastAsia"/>
                <w:color w:val="auto"/>
                <w:sz w:val="24"/>
                <w:szCs w:val="24"/>
                <w:highlight w:val="none"/>
                <w:lang w:eastAsia="zh-CN"/>
              </w:rPr>
              <w:t>实际</w:t>
            </w:r>
          </w:p>
          <w:p>
            <w:pPr>
              <w:autoSpaceDE w:val="0"/>
              <w:autoSpaceDN w:val="0"/>
              <w:adjustRightInd w:val="0"/>
              <w:jc w:val="center"/>
              <w:rPr>
                <w:color w:val="auto"/>
                <w:sz w:val="24"/>
                <w:szCs w:val="24"/>
                <w:highlight w:val="none"/>
              </w:rPr>
            </w:pPr>
            <w:r>
              <w:rPr>
                <w:color w:val="auto"/>
                <w:sz w:val="24"/>
                <w:szCs w:val="24"/>
                <w:highlight w:val="none"/>
              </w:rPr>
              <w:t>环保投资（万元）</w:t>
            </w:r>
          </w:p>
        </w:tc>
        <w:tc>
          <w:tcPr>
            <w:tcW w:w="993" w:type="dxa"/>
            <w:gridSpan w:val="3"/>
            <w:tcBorders>
              <w:tl2br w:val="nil"/>
              <w:tr2bl w:val="nil"/>
            </w:tcBorders>
            <w:vAlign w:val="center"/>
          </w:tcPr>
          <w:p>
            <w:pPr>
              <w:autoSpaceDE w:val="0"/>
              <w:autoSpaceDN w:val="0"/>
              <w:adjustRightInd w:val="0"/>
              <w:jc w:val="center"/>
              <w:rPr>
                <w:rFonts w:hint="default" w:eastAsia="宋体"/>
                <w:color w:val="auto"/>
                <w:sz w:val="24"/>
                <w:szCs w:val="24"/>
                <w:highlight w:val="none"/>
                <w:lang w:val="en-US" w:eastAsia="zh-CN"/>
              </w:rPr>
            </w:pPr>
            <w:r>
              <w:rPr>
                <w:rFonts w:hint="eastAsia"/>
                <w:color w:val="auto"/>
                <w:sz w:val="24"/>
                <w:szCs w:val="24"/>
                <w:highlight w:val="none"/>
                <w:lang w:val="en-US" w:eastAsia="zh-CN"/>
              </w:rPr>
              <w:t>250</w:t>
            </w:r>
          </w:p>
        </w:tc>
        <w:tc>
          <w:tcPr>
            <w:tcW w:w="1853" w:type="dxa"/>
            <w:gridSpan w:val="3"/>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实际环保投</w:t>
            </w:r>
          </w:p>
          <w:p>
            <w:pPr>
              <w:autoSpaceDE w:val="0"/>
              <w:autoSpaceDN w:val="0"/>
              <w:adjustRightInd w:val="0"/>
              <w:jc w:val="center"/>
              <w:rPr>
                <w:color w:val="auto"/>
                <w:sz w:val="24"/>
                <w:szCs w:val="24"/>
                <w:highlight w:val="none"/>
              </w:rPr>
            </w:pPr>
            <w:r>
              <w:rPr>
                <w:color w:val="auto"/>
                <w:sz w:val="24"/>
                <w:szCs w:val="24"/>
                <w:highlight w:val="none"/>
              </w:rPr>
              <w:t>资占总投资比例</w:t>
            </w:r>
          </w:p>
        </w:tc>
        <w:tc>
          <w:tcPr>
            <w:tcW w:w="1174" w:type="dxa"/>
            <w:tcBorders>
              <w:tl2br w:val="nil"/>
              <w:tr2bl w:val="nil"/>
            </w:tcBorders>
            <w:vAlign w:val="center"/>
          </w:tcPr>
          <w:p>
            <w:pPr>
              <w:autoSpaceDE w:val="0"/>
              <w:autoSpaceDN w:val="0"/>
              <w:adjustRightInd w:val="0"/>
              <w:jc w:val="center"/>
              <w:rPr>
                <w:rFonts w:hint="default" w:eastAsia="宋体"/>
                <w:color w:val="auto"/>
                <w:sz w:val="24"/>
                <w:szCs w:val="24"/>
                <w:highlight w:val="none"/>
                <w:lang w:val="en-US" w:eastAsia="zh-CN"/>
              </w:rPr>
            </w:pPr>
            <w:r>
              <w:rPr>
                <w:rFonts w:hint="eastAsia"/>
                <w:color w:val="auto"/>
                <w:sz w:val="24"/>
                <w:highlight w:val="none"/>
                <w:lang w:val="en-US" w:eastAsia="zh-CN"/>
              </w:rPr>
              <w:t>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03" w:hRule="atLeast"/>
          <w:jc w:val="center"/>
        </w:trPr>
        <w:tc>
          <w:tcPr>
            <w:tcW w:w="2283" w:type="dxa"/>
            <w:gridSpan w:val="2"/>
            <w:tcBorders>
              <w:tl2br w:val="nil"/>
              <w:tr2bl w:val="nil"/>
            </w:tcBorders>
            <w:vAlign w:val="center"/>
          </w:tcPr>
          <w:p>
            <w:pPr>
              <w:autoSpaceDE w:val="0"/>
              <w:autoSpaceDN w:val="0"/>
              <w:adjustRightInd w:val="0"/>
              <w:jc w:val="center"/>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设计生产能力</w:t>
            </w:r>
          </w:p>
        </w:tc>
        <w:tc>
          <w:tcPr>
            <w:tcW w:w="2771" w:type="dxa"/>
            <w:gridSpan w:val="3"/>
            <w:tcBorders>
              <w:tl2br w:val="nil"/>
              <w:tr2bl w:val="nil"/>
            </w:tcBorders>
            <w:vAlign w:val="center"/>
          </w:tcPr>
          <w:p>
            <w:pPr>
              <w:autoSpaceDE w:val="0"/>
              <w:autoSpaceDN w:val="0"/>
              <w:adjustRightInd w:val="0"/>
              <w:jc w:val="center"/>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建设</w:t>
            </w:r>
            <w:r>
              <w:rPr>
                <w:rFonts w:hint="eastAsia" w:cs="Times New Roman"/>
                <w:color w:val="auto"/>
                <w:sz w:val="24"/>
                <w:szCs w:val="24"/>
                <w:lang w:val="en-US" w:eastAsia="zh-CN"/>
              </w:rPr>
              <w:t>管径</w:t>
            </w:r>
            <w:r>
              <w:rPr>
                <w:rFonts w:ascii="Times New Roman" w:hAnsi="Times New Roman" w:eastAsia="Times New Roman"/>
                <w:color w:val="auto"/>
                <w:sz w:val="24"/>
              </w:rPr>
              <w:t>2</w:t>
            </w:r>
            <w:r>
              <w:rPr>
                <w:color w:val="auto"/>
                <w:sz w:val="24"/>
              </w:rPr>
              <w:t>×</w:t>
            </w:r>
            <w:r>
              <w:rPr>
                <w:rFonts w:ascii="Times New Roman" w:hAnsi="Times New Roman" w:eastAsia="Times New Roman"/>
                <w:color w:val="auto"/>
                <w:sz w:val="24"/>
              </w:rPr>
              <w:t>DN1400</w:t>
            </w:r>
            <w:r>
              <w:rPr>
                <w:rFonts w:hint="eastAsia" w:cs="Times New Roman"/>
                <w:color w:val="auto"/>
                <w:sz w:val="24"/>
                <w:szCs w:val="24"/>
                <w:lang w:val="en-US" w:eastAsia="zh-CN"/>
              </w:rPr>
              <w:t>供热管线</w:t>
            </w:r>
            <w:r>
              <w:rPr>
                <w:rFonts w:hint="eastAsia" w:ascii="Times New Roman" w:hAnsi="Times New Roman" w:eastAsia="宋体" w:cs="Times New Roman"/>
                <w:color w:val="auto"/>
                <w:sz w:val="24"/>
                <w:szCs w:val="24"/>
                <w:lang w:val="en-US" w:eastAsia="zh-CN"/>
              </w:rPr>
              <w:t>，总长度</w:t>
            </w:r>
            <w:r>
              <w:rPr>
                <w:rFonts w:hint="eastAsia" w:cs="Times New Roman"/>
                <w:color w:val="auto"/>
                <w:sz w:val="24"/>
                <w:szCs w:val="24"/>
                <w:lang w:val="en-US" w:eastAsia="zh-CN"/>
              </w:rPr>
              <w:t>4.5千米</w:t>
            </w:r>
          </w:p>
        </w:tc>
        <w:tc>
          <w:tcPr>
            <w:tcW w:w="2191" w:type="dxa"/>
            <w:gridSpan w:val="7"/>
            <w:tcBorders>
              <w:tl2br w:val="nil"/>
              <w:tr2bl w:val="nil"/>
            </w:tcBorders>
            <w:vAlign w:val="center"/>
          </w:tcPr>
          <w:p>
            <w:pPr>
              <w:autoSpaceDE w:val="0"/>
              <w:autoSpaceDN w:val="0"/>
              <w:adjustRightInd w:val="0"/>
              <w:jc w:val="center"/>
              <w:rPr>
                <w:color w:val="auto"/>
                <w:sz w:val="24"/>
                <w:szCs w:val="24"/>
                <w:highlight w:val="none"/>
              </w:rPr>
            </w:pPr>
            <w:r>
              <w:rPr>
                <w:color w:val="auto"/>
                <w:sz w:val="24"/>
                <w:szCs w:val="24"/>
                <w:highlight w:val="none"/>
              </w:rPr>
              <w:t>建设项目开工日期</w:t>
            </w:r>
          </w:p>
        </w:tc>
        <w:tc>
          <w:tcPr>
            <w:tcW w:w="2449" w:type="dxa"/>
            <w:gridSpan w:val="3"/>
            <w:tcBorders>
              <w:tl2br w:val="nil"/>
              <w:tr2bl w:val="nil"/>
            </w:tcBorders>
            <w:vAlign w:val="center"/>
          </w:tcPr>
          <w:p>
            <w:pPr>
              <w:autoSpaceDE w:val="0"/>
              <w:autoSpaceDN w:val="0"/>
              <w:adjustRightInd w:val="0"/>
              <w:jc w:val="center"/>
              <w:rPr>
                <w:rFonts w:hint="default" w:eastAsia="宋体"/>
                <w:color w:val="auto"/>
                <w:sz w:val="24"/>
                <w:szCs w:val="24"/>
                <w:highlight w:val="none"/>
                <w:lang w:val="en-US" w:eastAsia="zh-CN"/>
              </w:rPr>
            </w:pPr>
            <w:r>
              <w:rPr>
                <w:rFonts w:hint="eastAsia"/>
                <w:color w:val="auto"/>
                <w:sz w:val="24"/>
                <w:szCs w:val="24"/>
                <w:highlight w:val="none"/>
                <w:lang w:val="en-US" w:eastAsia="zh-CN"/>
              </w:rPr>
              <w:t>2023年07月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283" w:type="dxa"/>
            <w:gridSpan w:val="2"/>
            <w:tcBorders>
              <w:tl2br w:val="nil"/>
              <w:tr2bl w:val="nil"/>
            </w:tcBorders>
            <w:vAlign w:val="center"/>
          </w:tcPr>
          <w:p>
            <w:pPr>
              <w:autoSpaceDE w:val="0"/>
              <w:autoSpaceDN w:val="0"/>
              <w:adjustRightInd w:val="0"/>
              <w:jc w:val="center"/>
              <w:rPr>
                <w:color w:val="auto"/>
                <w:sz w:val="24"/>
                <w:szCs w:val="24"/>
              </w:rPr>
            </w:pPr>
            <w:r>
              <w:rPr>
                <w:color w:val="auto"/>
                <w:sz w:val="24"/>
                <w:szCs w:val="24"/>
              </w:rPr>
              <w:t>实际生产能力</w:t>
            </w:r>
          </w:p>
        </w:tc>
        <w:tc>
          <w:tcPr>
            <w:tcW w:w="2771" w:type="dxa"/>
            <w:gridSpan w:val="3"/>
            <w:tcBorders>
              <w:tl2br w:val="nil"/>
              <w:tr2bl w:val="nil"/>
            </w:tcBorders>
            <w:vAlign w:val="center"/>
          </w:tcPr>
          <w:p>
            <w:pPr>
              <w:autoSpaceDE w:val="0"/>
              <w:autoSpaceDN w:val="0"/>
              <w:adjustRightInd w:val="0"/>
              <w:jc w:val="center"/>
              <w:rPr>
                <w:color w:val="auto"/>
                <w:sz w:val="24"/>
                <w:szCs w:val="24"/>
              </w:rPr>
            </w:pPr>
            <w:r>
              <w:rPr>
                <w:rFonts w:hint="eastAsia" w:ascii="Times New Roman" w:hAnsi="Times New Roman" w:eastAsia="宋体" w:cs="Times New Roman"/>
                <w:color w:val="auto"/>
                <w:sz w:val="24"/>
                <w:szCs w:val="24"/>
                <w:lang w:val="en-US" w:eastAsia="zh-CN"/>
              </w:rPr>
              <w:t>建设</w:t>
            </w:r>
            <w:r>
              <w:rPr>
                <w:rFonts w:hint="eastAsia" w:cs="Times New Roman"/>
                <w:color w:val="auto"/>
                <w:sz w:val="24"/>
                <w:szCs w:val="24"/>
                <w:lang w:val="en-US" w:eastAsia="zh-CN"/>
              </w:rPr>
              <w:t>管径</w:t>
            </w:r>
            <w:r>
              <w:rPr>
                <w:rFonts w:ascii="Times New Roman" w:hAnsi="Times New Roman" w:eastAsia="Times New Roman"/>
                <w:color w:val="auto"/>
                <w:sz w:val="24"/>
              </w:rPr>
              <w:t>2</w:t>
            </w:r>
            <w:r>
              <w:rPr>
                <w:color w:val="auto"/>
                <w:sz w:val="24"/>
              </w:rPr>
              <w:t>×</w:t>
            </w:r>
            <w:r>
              <w:rPr>
                <w:rFonts w:ascii="Times New Roman" w:hAnsi="Times New Roman" w:eastAsia="Times New Roman"/>
                <w:color w:val="auto"/>
                <w:sz w:val="24"/>
              </w:rPr>
              <w:t>DN1400</w:t>
            </w:r>
            <w:r>
              <w:rPr>
                <w:rFonts w:hint="eastAsia" w:cs="Times New Roman"/>
                <w:color w:val="auto"/>
                <w:sz w:val="24"/>
                <w:szCs w:val="24"/>
                <w:lang w:val="en-US" w:eastAsia="zh-CN"/>
              </w:rPr>
              <w:t>供热管线</w:t>
            </w:r>
            <w:r>
              <w:rPr>
                <w:rFonts w:hint="eastAsia" w:ascii="Times New Roman" w:hAnsi="Times New Roman" w:eastAsia="宋体" w:cs="Times New Roman"/>
                <w:color w:val="auto"/>
                <w:sz w:val="24"/>
                <w:szCs w:val="24"/>
                <w:lang w:val="en-US" w:eastAsia="zh-CN"/>
              </w:rPr>
              <w:t>，总长度</w:t>
            </w:r>
            <w:r>
              <w:rPr>
                <w:rFonts w:hint="eastAsia" w:cs="Times New Roman"/>
                <w:color w:val="auto"/>
                <w:sz w:val="24"/>
                <w:szCs w:val="24"/>
                <w:lang w:val="en-US" w:eastAsia="zh-CN"/>
              </w:rPr>
              <w:t>4.5千米</w:t>
            </w:r>
          </w:p>
        </w:tc>
        <w:tc>
          <w:tcPr>
            <w:tcW w:w="2191" w:type="dxa"/>
            <w:gridSpan w:val="7"/>
            <w:tcBorders>
              <w:tl2br w:val="nil"/>
              <w:tr2bl w:val="nil"/>
            </w:tcBorders>
            <w:vAlign w:val="center"/>
          </w:tcPr>
          <w:p>
            <w:pPr>
              <w:autoSpaceDE w:val="0"/>
              <w:autoSpaceDN w:val="0"/>
              <w:adjustRightInd w:val="0"/>
              <w:jc w:val="center"/>
              <w:rPr>
                <w:color w:val="auto"/>
                <w:sz w:val="24"/>
                <w:szCs w:val="24"/>
                <w:highlight w:val="none"/>
              </w:rPr>
            </w:pPr>
            <w:r>
              <w:rPr>
                <w:rFonts w:hint="eastAsia"/>
                <w:color w:val="auto"/>
                <w:sz w:val="24"/>
                <w:szCs w:val="24"/>
                <w:highlight w:val="none"/>
                <w:lang w:eastAsia="zh-CN"/>
              </w:rPr>
              <w:t>试压调试</w:t>
            </w:r>
            <w:r>
              <w:rPr>
                <w:color w:val="auto"/>
                <w:sz w:val="24"/>
                <w:szCs w:val="24"/>
                <w:highlight w:val="none"/>
              </w:rPr>
              <w:t>日期</w:t>
            </w:r>
          </w:p>
        </w:tc>
        <w:tc>
          <w:tcPr>
            <w:tcW w:w="2449" w:type="dxa"/>
            <w:gridSpan w:val="3"/>
            <w:tcBorders>
              <w:tl2br w:val="nil"/>
              <w:tr2bl w:val="nil"/>
            </w:tcBorders>
            <w:vAlign w:val="center"/>
          </w:tcPr>
          <w:p>
            <w:pPr>
              <w:autoSpaceDE w:val="0"/>
              <w:autoSpaceDN w:val="0"/>
              <w:adjustRightInd w:val="0"/>
              <w:jc w:val="center"/>
              <w:rPr>
                <w:rFonts w:hint="default" w:eastAsia="宋体"/>
                <w:color w:val="auto"/>
                <w:sz w:val="24"/>
                <w:szCs w:val="24"/>
                <w:highlight w:val="none"/>
                <w:lang w:val="en-US" w:eastAsia="zh-CN"/>
              </w:rPr>
            </w:pPr>
            <w:r>
              <w:rPr>
                <w:rFonts w:hint="eastAsia"/>
                <w:color w:val="auto"/>
                <w:sz w:val="24"/>
                <w:szCs w:val="24"/>
                <w:highlight w:val="none"/>
                <w:lang w:val="en-US" w:eastAsia="zh-CN"/>
              </w:rPr>
              <w:t>2023年10月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4527" w:hRule="atLeast"/>
          <w:jc w:val="center"/>
        </w:trPr>
        <w:tc>
          <w:tcPr>
            <w:tcW w:w="1291" w:type="dxa"/>
            <w:tcBorders>
              <w:tl2br w:val="nil"/>
              <w:tr2bl w:val="nil"/>
            </w:tcBorders>
            <w:vAlign w:val="center"/>
          </w:tcPr>
          <w:p>
            <w:pPr>
              <w:autoSpaceDE w:val="0"/>
              <w:autoSpaceDN w:val="0"/>
              <w:adjustRightInd w:val="0"/>
              <w:jc w:val="center"/>
              <w:rPr>
                <w:b/>
                <w:bCs/>
                <w:color w:val="auto"/>
                <w:sz w:val="24"/>
                <w:szCs w:val="24"/>
              </w:rPr>
            </w:pPr>
            <w:r>
              <w:rPr>
                <w:b/>
                <w:bCs/>
                <w:color w:val="auto"/>
                <w:sz w:val="24"/>
                <w:szCs w:val="24"/>
              </w:rPr>
              <w:t>项目建设</w:t>
            </w:r>
          </w:p>
          <w:p>
            <w:pPr>
              <w:autoSpaceDE w:val="0"/>
              <w:autoSpaceDN w:val="0"/>
              <w:adjustRightInd w:val="0"/>
              <w:jc w:val="center"/>
              <w:rPr>
                <w:b/>
                <w:bCs/>
                <w:color w:val="auto"/>
                <w:sz w:val="24"/>
                <w:szCs w:val="24"/>
              </w:rPr>
            </w:pPr>
            <w:r>
              <w:rPr>
                <w:b/>
                <w:bCs/>
                <w:color w:val="auto"/>
                <w:sz w:val="24"/>
                <w:szCs w:val="24"/>
              </w:rPr>
              <w:t>过程简述</w:t>
            </w:r>
          </w:p>
          <w:p>
            <w:pPr>
              <w:autoSpaceDE w:val="0"/>
              <w:autoSpaceDN w:val="0"/>
              <w:adjustRightInd w:val="0"/>
              <w:jc w:val="center"/>
              <w:rPr>
                <w:color w:val="auto"/>
                <w:sz w:val="24"/>
                <w:szCs w:val="24"/>
              </w:rPr>
            </w:pPr>
          </w:p>
        </w:tc>
        <w:tc>
          <w:tcPr>
            <w:tcW w:w="8403" w:type="dxa"/>
            <w:gridSpan w:val="14"/>
            <w:tcBorders>
              <w:tl2br w:val="nil"/>
              <w:tr2bl w:val="nil"/>
            </w:tcBorders>
            <w:vAlign w:val="center"/>
          </w:tcPr>
          <w:p>
            <w:pPr>
              <w:pStyle w:val="21"/>
              <w:spacing w:after="0" w:line="360" w:lineRule="auto"/>
              <w:ind w:left="0" w:leftChars="0" w:firstLine="480"/>
              <w:jc w:val="both"/>
              <w:rPr>
                <w:rFonts w:hint="eastAsia"/>
                <w:color w:val="auto"/>
                <w:sz w:val="24"/>
                <w:szCs w:val="24"/>
                <w:lang w:val="en-US" w:eastAsia="zh-CN"/>
              </w:rPr>
            </w:pPr>
            <w:r>
              <w:rPr>
                <w:rFonts w:hint="eastAsia"/>
                <w:color w:val="auto"/>
                <w:sz w:val="24"/>
                <w:szCs w:val="24"/>
                <w:lang w:val="en-US" w:eastAsia="zh-CN"/>
              </w:rPr>
              <w:t>济南热力集团有限公司是济南市属国有独资大型能源企业，隶属于济南能源集团有限公司，是集热力生产、供应与服务，能源技术开发、咨询与应用，能源设施建设与维修于一体的综合性大型企业，主要承担济南市区域内的供热保障任务。集团公司注册资本6亿元，资产总额228.45亿元，现有职工2629人，供热开户面积2.56亿平方米。集团公司下辖16个子公司，换热站3056座，调峰热源厂一座，供热管网7673.408公里，工业用户10家。</w:t>
            </w:r>
          </w:p>
          <w:p>
            <w:pPr>
              <w:pStyle w:val="21"/>
              <w:spacing w:after="0" w:line="360" w:lineRule="auto"/>
              <w:ind w:left="0" w:leftChars="0" w:firstLine="480"/>
              <w:jc w:val="both"/>
              <w:rPr>
                <w:rFonts w:hint="eastAsia"/>
                <w:color w:val="auto"/>
                <w:sz w:val="24"/>
                <w:szCs w:val="24"/>
                <w:lang w:val="en-US" w:eastAsia="zh-CN"/>
              </w:rPr>
            </w:pPr>
            <w:r>
              <w:rPr>
                <w:rFonts w:hint="eastAsia"/>
                <w:color w:val="auto"/>
                <w:sz w:val="24"/>
                <w:szCs w:val="24"/>
                <w:lang w:val="en-US" w:eastAsia="zh-CN"/>
              </w:rPr>
              <w:t>为解决济南西部城区居民冬季清洁取暖的问题，同时降低城市总体煤炭能源消耗，济南热力集团有限公司按照济南市委、市政府域外余热引入工作部署，规划建设了“石热入济长距离输送供热工程（泰安段）”，作为外热入济通道的重要组成部分，充分利用济南域外余热资源，向济南中西部城区供暖，可为济南西部城区及长清区输送约25600m</w:t>
            </w:r>
            <w:r>
              <w:rPr>
                <w:rFonts w:hint="eastAsia"/>
                <w:color w:val="auto"/>
                <w:sz w:val="24"/>
                <w:szCs w:val="24"/>
                <w:vertAlign w:val="superscript"/>
                <w:lang w:val="en-US" w:eastAsia="zh-CN"/>
              </w:rPr>
              <w:t>3</w:t>
            </w:r>
            <w:r>
              <w:rPr>
                <w:rFonts w:hint="eastAsia"/>
                <w:color w:val="auto"/>
                <w:sz w:val="24"/>
                <w:szCs w:val="24"/>
                <w:lang w:val="en-US" w:eastAsia="zh-CN"/>
              </w:rPr>
              <w:t>/h热水流量，可解决7000万m</w:t>
            </w:r>
            <w:r>
              <w:rPr>
                <w:rFonts w:hint="eastAsia"/>
                <w:color w:val="auto"/>
                <w:sz w:val="24"/>
                <w:szCs w:val="24"/>
                <w:vertAlign w:val="superscript"/>
                <w:lang w:val="en-US" w:eastAsia="zh-CN"/>
              </w:rPr>
              <w:t>2</w:t>
            </w:r>
            <w:r>
              <w:rPr>
                <w:rFonts w:hint="eastAsia"/>
                <w:color w:val="auto"/>
                <w:sz w:val="24"/>
                <w:szCs w:val="24"/>
                <w:lang w:val="en-US" w:eastAsia="zh-CN"/>
              </w:rPr>
              <w:t>的供热需求，有效弥补供热缺口。此外，通过多项技术提温升质后集中供热，替代城区燃煤锅炉取暖，减少城市煤炭消耗和降低大气环境污染；同时避免城市建设大量分散燃气壁挂炉等取暖，造成冬季气源紧张和氮氧化物排放浓度较高等二次污染，对济南市节能减排和大气环境质量改善起到良好促进作用。</w:t>
            </w:r>
          </w:p>
          <w:p>
            <w:pPr>
              <w:spacing w:line="360" w:lineRule="auto"/>
              <w:ind w:firstLine="480" w:firstLineChars="200"/>
              <w:rPr>
                <w:rFonts w:hint="default"/>
                <w:color w:val="auto"/>
                <w:sz w:val="24"/>
                <w:szCs w:val="24"/>
                <w:lang w:val="en-US" w:eastAsia="zh-CN"/>
              </w:rPr>
            </w:pPr>
            <w:r>
              <w:rPr>
                <w:rFonts w:hint="eastAsia"/>
                <w:color w:val="auto"/>
                <w:sz w:val="24"/>
                <w:szCs w:val="24"/>
                <w:lang w:val="en-US" w:eastAsia="zh-CN"/>
              </w:rPr>
              <w:t>“石热入济长距离输送供热工程（泰安段）”</w:t>
            </w:r>
            <w:r>
              <w:rPr>
                <w:rFonts w:hint="default"/>
                <w:color w:val="auto"/>
                <w:sz w:val="24"/>
                <w:szCs w:val="24"/>
                <w:lang w:val="en-US" w:eastAsia="zh-CN"/>
              </w:rPr>
              <w:t>（以下简称</w:t>
            </w:r>
            <w:r>
              <w:rPr>
                <w:rFonts w:hint="eastAsia"/>
                <w:color w:val="auto"/>
                <w:sz w:val="24"/>
                <w:szCs w:val="24"/>
                <w:lang w:val="en-US" w:eastAsia="zh-CN"/>
              </w:rPr>
              <w:t>“</w:t>
            </w:r>
            <w:r>
              <w:rPr>
                <w:rFonts w:hint="default"/>
                <w:color w:val="auto"/>
                <w:sz w:val="24"/>
                <w:szCs w:val="24"/>
                <w:lang w:val="en-US" w:eastAsia="zh-CN"/>
              </w:rPr>
              <w:t>本项目</w:t>
            </w:r>
            <w:r>
              <w:rPr>
                <w:rFonts w:hint="eastAsia"/>
                <w:color w:val="auto"/>
                <w:sz w:val="24"/>
                <w:szCs w:val="24"/>
                <w:lang w:val="en-US" w:eastAsia="zh-CN"/>
              </w:rPr>
              <w:t>”</w:t>
            </w:r>
            <w:r>
              <w:rPr>
                <w:rFonts w:hint="default"/>
                <w:color w:val="auto"/>
                <w:sz w:val="24"/>
                <w:szCs w:val="24"/>
                <w:lang w:val="en-US" w:eastAsia="zh-CN"/>
              </w:rPr>
              <w:t>）作为</w:t>
            </w:r>
            <w:r>
              <w:rPr>
                <w:rFonts w:hint="eastAsia"/>
                <w:color w:val="auto"/>
                <w:sz w:val="24"/>
                <w:szCs w:val="24"/>
                <w:lang w:val="en-US" w:eastAsia="zh-CN"/>
              </w:rPr>
              <w:t>解决济南西部供热需求的重点工程</w:t>
            </w:r>
            <w:r>
              <w:rPr>
                <w:rFonts w:hint="default"/>
                <w:color w:val="auto"/>
                <w:sz w:val="24"/>
                <w:szCs w:val="24"/>
                <w:lang w:val="en-US" w:eastAsia="zh-CN"/>
              </w:rPr>
              <w:t>，目的是</w:t>
            </w:r>
            <w:r>
              <w:rPr>
                <w:rFonts w:hint="eastAsia"/>
                <w:color w:val="auto"/>
                <w:sz w:val="24"/>
                <w:szCs w:val="24"/>
                <w:lang w:val="en-US" w:eastAsia="zh-CN"/>
              </w:rPr>
              <w:t>计划将“石横电厂余热”引入济南城区。因地制宜的统筹济南周边可利用的电厂余热资源，发展长输管网集中供热， 将大幅度提高城市清洁取暖率，满足民生清洁供暖的需要。</w:t>
            </w:r>
          </w:p>
          <w:p>
            <w:pPr>
              <w:spacing w:line="360" w:lineRule="auto"/>
              <w:ind w:firstLine="480" w:firstLineChars="200"/>
              <w:rPr>
                <w:rFonts w:hint="eastAsia"/>
                <w:color w:val="auto"/>
                <w:sz w:val="24"/>
                <w:szCs w:val="24"/>
                <w:lang w:val="en-US" w:eastAsia="zh-CN"/>
              </w:rPr>
            </w:pPr>
            <w:r>
              <w:rPr>
                <w:rFonts w:hint="default"/>
                <w:color w:val="auto"/>
                <w:sz w:val="24"/>
                <w:szCs w:val="24"/>
                <w:lang w:val="en-US" w:eastAsia="zh-CN"/>
              </w:rPr>
              <w:t>202</w:t>
            </w:r>
            <w:r>
              <w:rPr>
                <w:rFonts w:hint="eastAsia"/>
                <w:color w:val="auto"/>
                <w:sz w:val="24"/>
                <w:szCs w:val="24"/>
                <w:lang w:val="en-US" w:eastAsia="zh-CN"/>
              </w:rPr>
              <w:t>3</w:t>
            </w:r>
            <w:r>
              <w:rPr>
                <w:rFonts w:hint="default"/>
                <w:color w:val="auto"/>
                <w:sz w:val="24"/>
                <w:szCs w:val="24"/>
                <w:lang w:val="en-US" w:eastAsia="zh-CN"/>
              </w:rPr>
              <w:t>年</w:t>
            </w:r>
            <w:r>
              <w:rPr>
                <w:rFonts w:hint="eastAsia"/>
                <w:color w:val="auto"/>
                <w:sz w:val="24"/>
                <w:szCs w:val="24"/>
                <w:lang w:val="en-US" w:eastAsia="zh-CN"/>
              </w:rPr>
              <w:t>04</w:t>
            </w:r>
            <w:r>
              <w:rPr>
                <w:rFonts w:hint="default"/>
                <w:color w:val="auto"/>
                <w:sz w:val="24"/>
                <w:szCs w:val="24"/>
                <w:lang w:val="en-US" w:eastAsia="zh-CN"/>
              </w:rPr>
              <w:t>月，济南热力集团有限公司委托</w:t>
            </w:r>
            <w:r>
              <w:rPr>
                <w:rFonts w:hint="eastAsia"/>
                <w:color w:val="auto"/>
                <w:sz w:val="24"/>
                <w:szCs w:val="24"/>
                <w:lang w:val="en-US" w:eastAsia="zh-CN"/>
              </w:rPr>
              <w:t>山东优纳特环境科技有限公司</w:t>
            </w:r>
            <w:r>
              <w:rPr>
                <w:rFonts w:hint="default"/>
                <w:color w:val="auto"/>
                <w:sz w:val="24"/>
                <w:szCs w:val="24"/>
                <w:lang w:val="en-US" w:eastAsia="zh-CN"/>
              </w:rPr>
              <w:t>编制了《济南热力集团有限公司</w:t>
            </w:r>
            <w:r>
              <w:rPr>
                <w:rFonts w:hint="eastAsia"/>
                <w:color w:val="auto"/>
                <w:sz w:val="24"/>
                <w:szCs w:val="24"/>
                <w:lang w:val="en-US" w:eastAsia="zh-CN"/>
              </w:rPr>
              <w:t>石热入济长距离输送供热工程（泰安段）环境影响评价报告表</w:t>
            </w:r>
            <w:r>
              <w:rPr>
                <w:rFonts w:hint="default"/>
                <w:color w:val="auto"/>
                <w:sz w:val="24"/>
                <w:szCs w:val="24"/>
                <w:lang w:val="en-US" w:eastAsia="zh-CN"/>
              </w:rPr>
              <w:t>》</w:t>
            </w:r>
            <w:r>
              <w:rPr>
                <w:rFonts w:hint="eastAsia"/>
                <w:color w:val="auto"/>
                <w:sz w:val="24"/>
                <w:szCs w:val="24"/>
                <w:lang w:val="en-US" w:eastAsia="zh-CN"/>
              </w:rPr>
              <w:t>并报送至泰安市生态环境局，2023年07月19日，泰安市生态环境局对本项目做出批复（泰肥环境审报告表〔2023〕31号，详见附件2）。</w:t>
            </w:r>
          </w:p>
          <w:p>
            <w:pPr>
              <w:spacing w:line="360" w:lineRule="auto"/>
              <w:ind w:firstLine="480" w:firstLineChars="200"/>
              <w:rPr>
                <w:rFonts w:hint="eastAsia" w:ascii="Times New Roman" w:hAnsi="Times New Roman" w:eastAsia="宋体" w:cs="Times New Roman"/>
                <w:color w:val="auto"/>
                <w:kern w:val="2"/>
                <w:sz w:val="24"/>
                <w:szCs w:val="24"/>
                <w:lang w:val="en-US" w:eastAsia="zh-CN" w:bidi="ar-SA"/>
              </w:rPr>
            </w:pPr>
            <w:r>
              <w:rPr>
                <w:rFonts w:hint="eastAsia"/>
                <w:color w:val="auto"/>
                <w:sz w:val="24"/>
                <w:szCs w:val="24"/>
                <w:lang w:val="en-US" w:eastAsia="zh-CN"/>
              </w:rPr>
              <w:t>本项目于2023年07月开工建设，2023年09月30日竣工，10月06日进行试压调试，实际投资21168万元，其中环保投资250万元，</w:t>
            </w:r>
            <w:r>
              <w:rPr>
                <w:rFonts w:hint="eastAsia"/>
                <w:color w:val="auto"/>
                <w:sz w:val="24"/>
                <w:szCs w:val="24"/>
                <w:lang w:val="en-US" w:eastAsia="zh-CN"/>
              </w:rPr>
              <w:t>占总投资1.2%，本项目</w:t>
            </w:r>
            <w:r>
              <w:rPr>
                <w:rFonts w:hint="default"/>
                <w:color w:val="auto"/>
                <w:sz w:val="24"/>
                <w:szCs w:val="24"/>
                <w:lang w:val="en-US" w:eastAsia="zh-CN"/>
              </w:rPr>
              <w:t>位于肥城市石横镇，起点位于石横电厂厂区西南侧拟建首站，沿厂区内西侧围墙向北敷设，敷设至</w:t>
            </w:r>
            <w:r>
              <w:rPr>
                <w:rFonts w:hint="default" w:ascii="Times New Roman" w:hAnsi="Times New Roman" w:eastAsia="宋体" w:cs="Times New Roman"/>
                <w:color w:val="auto"/>
                <w:kern w:val="2"/>
                <w:sz w:val="24"/>
                <w:szCs w:val="24"/>
                <w:lang w:val="en-US" w:eastAsia="zh-CN" w:bidi="ar-SA"/>
              </w:rPr>
              <w:t>厂区西北角后出厂区。自石横电厂出线后沿电厂西侧乡村道路接至红石河，架空管过红石河，穿越石横发电厂社区，向北沿赵庄水库东侧、北侧道路敷设，后沿西北方向斜穿农田敷设至平石路；自平石路向北方向沿农田直埋敷设至平阴界。管径2×DN1400，总长度约4.5公里</w:t>
            </w:r>
            <w:r>
              <w:rPr>
                <w:rFonts w:hint="eastAsia" w:ascii="Times New Roman" w:hAnsi="Times New Roman" w:eastAsia="宋体"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含厂区内1.3公里</w:t>
            </w:r>
            <w:r>
              <w:rPr>
                <w:rFonts w:hint="eastAsia" w:ascii="Times New Roman" w:hAnsi="Times New Roman" w:eastAsia="宋体" w:cs="Times New Roman"/>
                <w:color w:val="auto"/>
                <w:kern w:val="2"/>
                <w:sz w:val="24"/>
                <w:szCs w:val="24"/>
                <w:lang w:val="en-US" w:eastAsia="zh-CN" w:bidi="ar-SA"/>
              </w:rPr>
              <w:t>）。</w:t>
            </w:r>
          </w:p>
          <w:p>
            <w:pPr>
              <w:pStyle w:val="69"/>
              <w:spacing w:before="2" w:line="364" w:lineRule="auto"/>
              <w:ind w:left="112" w:right="-44" w:firstLine="482"/>
              <w:jc w:val="both"/>
              <w:rPr>
                <w:rFonts w:hint="default" w:ascii="Times New Roman" w:hAnsi="Times New Roman" w:eastAsia="宋体" w:cs="Times New Roman"/>
                <w:color w:val="auto"/>
                <w:kern w:val="2"/>
                <w:sz w:val="24"/>
                <w:szCs w:val="24"/>
                <w:lang w:val="en-GB" w:eastAsia="zh-CN" w:bidi="ar-SA"/>
              </w:rPr>
            </w:pPr>
            <w:r>
              <w:rPr>
                <w:rFonts w:hint="default" w:ascii="Times New Roman" w:hAnsi="Times New Roman" w:eastAsia="宋体" w:cs="Times New Roman"/>
                <w:color w:val="auto"/>
                <w:kern w:val="2"/>
                <w:sz w:val="24"/>
                <w:szCs w:val="24"/>
                <w:lang w:val="en-GB" w:eastAsia="zh-CN" w:bidi="ar-SA"/>
              </w:rPr>
              <w:t>根据《建设项目环境保护管理条例》（国务院令第682号）和《建设项目竣工环境保护验收暂行办法》</w:t>
            </w:r>
            <w:r>
              <w:rPr>
                <w:rFonts w:hint="default" w:ascii="Times New Roman" w:hAnsi="Times New Roman" w:eastAsia="宋体" w:cs="Times New Roman"/>
                <w:color w:val="auto"/>
                <w:kern w:val="2"/>
                <w:sz w:val="24"/>
                <w:szCs w:val="24"/>
                <w:lang w:val="en-US" w:eastAsia="zh-CN" w:bidi="ar-SA"/>
              </w:rPr>
              <w:t>（国环规环评〔2017〕4号）</w:t>
            </w:r>
            <w:r>
              <w:rPr>
                <w:rFonts w:hint="default" w:ascii="Times New Roman" w:hAnsi="Times New Roman" w:eastAsia="宋体" w:cs="Times New Roman"/>
                <w:color w:val="auto"/>
                <w:kern w:val="2"/>
                <w:sz w:val="24"/>
                <w:szCs w:val="24"/>
                <w:lang w:val="en-GB" w:eastAsia="zh-CN" w:bidi="ar-SA"/>
              </w:rPr>
              <w:t>的规定和要求，</w:t>
            </w:r>
            <w:r>
              <w:rPr>
                <w:rFonts w:hint="eastAsia" w:ascii="Times New Roman" w:hAnsi="Times New Roman" w:eastAsia="宋体" w:cs="Times New Roman"/>
                <w:color w:val="auto"/>
                <w:kern w:val="2"/>
                <w:sz w:val="24"/>
                <w:szCs w:val="24"/>
                <w:lang w:val="en-US" w:eastAsia="zh-CN" w:bidi="ar-SA"/>
              </w:rPr>
              <w:t>济南热力集团</w:t>
            </w:r>
            <w:r>
              <w:rPr>
                <w:rFonts w:hint="default" w:ascii="Times New Roman" w:hAnsi="Times New Roman" w:eastAsia="宋体" w:cs="Times New Roman"/>
                <w:color w:val="auto"/>
                <w:kern w:val="2"/>
                <w:sz w:val="24"/>
                <w:szCs w:val="24"/>
                <w:lang w:val="en-US" w:eastAsia="zh-CN" w:bidi="ar-SA"/>
              </w:rPr>
              <w:t>有限公司</w:t>
            </w:r>
            <w:r>
              <w:rPr>
                <w:rFonts w:hint="eastAsia" w:ascii="Times New Roman" w:hAnsi="Times New Roman" w:cs="Times New Roman"/>
                <w:color w:val="auto"/>
                <w:kern w:val="2"/>
                <w:sz w:val="24"/>
                <w:szCs w:val="24"/>
                <w:lang w:val="en-GB" w:eastAsia="zh-CN" w:bidi="ar-SA"/>
              </w:rPr>
              <w:t>对</w:t>
            </w:r>
            <w:r>
              <w:rPr>
                <w:rFonts w:hint="eastAsia" w:ascii="Times New Roman" w:hAnsi="Times New Roman" w:eastAsia="宋体" w:cs="Times New Roman"/>
                <w:color w:val="auto"/>
                <w:kern w:val="2"/>
                <w:sz w:val="24"/>
                <w:szCs w:val="24"/>
                <w:lang w:val="en-GB" w:eastAsia="zh-CN" w:bidi="ar-SA"/>
              </w:rPr>
              <w:t>本</w:t>
            </w:r>
            <w:r>
              <w:rPr>
                <w:rFonts w:hint="default" w:ascii="Times New Roman" w:hAnsi="Times New Roman" w:eastAsia="宋体" w:cs="Times New Roman"/>
                <w:color w:val="auto"/>
                <w:kern w:val="2"/>
                <w:sz w:val="24"/>
                <w:szCs w:val="24"/>
                <w:lang w:val="en-GB" w:eastAsia="zh-CN" w:bidi="ar-SA"/>
              </w:rPr>
              <w:t>项目</w:t>
            </w:r>
            <w:r>
              <w:rPr>
                <w:rFonts w:hint="eastAsia" w:ascii="Times New Roman" w:hAnsi="Times New Roman" w:cs="Times New Roman"/>
                <w:color w:val="auto"/>
                <w:kern w:val="2"/>
                <w:sz w:val="24"/>
                <w:szCs w:val="24"/>
                <w:lang w:val="en-GB" w:eastAsia="zh-CN" w:bidi="ar-SA"/>
              </w:rPr>
              <w:t>启动</w:t>
            </w:r>
            <w:r>
              <w:rPr>
                <w:rFonts w:hint="default" w:ascii="Times New Roman" w:hAnsi="Times New Roman" w:eastAsia="宋体" w:cs="Times New Roman"/>
                <w:color w:val="auto"/>
                <w:kern w:val="2"/>
                <w:sz w:val="24"/>
                <w:szCs w:val="24"/>
                <w:lang w:val="en-GB" w:eastAsia="zh-CN" w:bidi="ar-SA"/>
              </w:rPr>
              <w:t>竣工环境保护验收工作。</w:t>
            </w:r>
          </w:p>
          <w:p>
            <w:pPr>
              <w:spacing w:line="360" w:lineRule="auto"/>
              <w:ind w:firstLine="480" w:firstLineChars="200"/>
              <w:rPr>
                <w:rFonts w:hint="default" w:cs="Times New Roman"/>
                <w:bCs/>
                <w:color w:val="auto"/>
                <w:kern w:val="6"/>
                <w:sz w:val="24"/>
                <w:lang w:val="en-US" w:eastAsia="zh-CN"/>
              </w:rPr>
            </w:pPr>
            <w:r>
              <w:rPr>
                <w:rFonts w:hint="default" w:ascii="Times New Roman" w:hAnsi="Times New Roman" w:eastAsia="宋体" w:cs="Times New Roman"/>
                <w:color w:val="auto"/>
                <w:kern w:val="2"/>
                <w:sz w:val="24"/>
                <w:szCs w:val="24"/>
                <w:lang w:val="en-GB" w:eastAsia="zh-CN" w:bidi="ar-SA"/>
              </w:rPr>
              <w:t>20</w:t>
            </w:r>
            <w:r>
              <w:rPr>
                <w:rFonts w:hint="eastAsia" w:ascii="Times New Roman" w:hAnsi="Times New Roman" w:eastAsia="宋体" w:cs="Times New Roman"/>
                <w:color w:val="auto"/>
                <w:kern w:val="2"/>
                <w:sz w:val="24"/>
                <w:szCs w:val="24"/>
                <w:lang w:val="en-US" w:eastAsia="zh-CN" w:bidi="ar-SA"/>
              </w:rPr>
              <w:t>24</w:t>
            </w:r>
            <w:r>
              <w:rPr>
                <w:rFonts w:hint="default" w:ascii="Times New Roman" w:hAnsi="Times New Roman" w:eastAsia="宋体" w:cs="Times New Roman"/>
                <w:color w:val="auto"/>
                <w:kern w:val="2"/>
                <w:sz w:val="24"/>
                <w:szCs w:val="24"/>
                <w:lang w:val="en-GB" w:eastAsia="zh-CN" w:bidi="ar-SA"/>
              </w:rPr>
              <w:t>年</w:t>
            </w:r>
            <w:r>
              <w:rPr>
                <w:rFonts w:hint="eastAsia" w:ascii="Times New Roman" w:hAnsi="Times New Roman" w:eastAsia="宋体" w:cs="Times New Roman"/>
                <w:color w:val="auto"/>
                <w:kern w:val="2"/>
                <w:sz w:val="24"/>
                <w:szCs w:val="24"/>
                <w:lang w:val="en-US" w:eastAsia="zh-CN" w:bidi="ar-SA"/>
              </w:rPr>
              <w:t>11月</w:t>
            </w:r>
            <w:r>
              <w:rPr>
                <w:rFonts w:hint="default" w:ascii="Times New Roman" w:hAnsi="Times New Roman" w:eastAsia="宋体" w:cs="Times New Roman"/>
                <w:color w:val="auto"/>
                <w:kern w:val="2"/>
                <w:sz w:val="24"/>
                <w:szCs w:val="24"/>
                <w:lang w:val="en-GB" w:eastAsia="zh-CN" w:bidi="ar-SA"/>
              </w:rPr>
              <w:t>，</w:t>
            </w:r>
            <w:r>
              <w:rPr>
                <w:rFonts w:hint="eastAsia" w:cs="Times New Roman"/>
                <w:bCs/>
                <w:color w:val="auto"/>
                <w:kern w:val="6"/>
                <w:sz w:val="24"/>
                <w:lang w:val="en-US" w:eastAsia="zh-CN"/>
              </w:rPr>
              <w:t>济南热力集团有限公司委托</w:t>
            </w:r>
            <w:r>
              <w:rPr>
                <w:rFonts w:hint="eastAsia" w:ascii="Times New Roman" w:hAnsi="Times New Roman" w:cs="Times New Roman"/>
                <w:color w:val="auto"/>
                <w:kern w:val="2"/>
                <w:sz w:val="24"/>
                <w:szCs w:val="24"/>
                <w:lang w:val="en-US" w:eastAsia="zh-CN" w:bidi="ar-SA"/>
              </w:rPr>
              <w:t>山东蓝昕环保测试分析有限公司</w:t>
            </w:r>
            <w:r>
              <w:rPr>
                <w:rFonts w:hint="default" w:ascii="Times New Roman" w:hAnsi="Times New Roman" w:cs="Times New Roman"/>
                <w:bCs/>
                <w:color w:val="auto"/>
                <w:kern w:val="6"/>
                <w:sz w:val="24"/>
                <w:lang w:val="en-US" w:eastAsia="zh-CN"/>
              </w:rPr>
              <w:t>承担</w:t>
            </w:r>
            <w:r>
              <w:rPr>
                <w:rFonts w:hint="eastAsia" w:cs="Times New Roman"/>
                <w:bCs/>
                <w:color w:val="auto"/>
                <w:kern w:val="6"/>
                <w:sz w:val="24"/>
                <w:lang w:val="en-US" w:eastAsia="zh-CN"/>
              </w:rPr>
              <w:t>本项目</w:t>
            </w:r>
            <w:r>
              <w:rPr>
                <w:rFonts w:hint="default" w:ascii="Times New Roman" w:hAnsi="Times New Roman" w:cs="Times New Roman"/>
                <w:bCs/>
                <w:color w:val="auto"/>
                <w:kern w:val="6"/>
                <w:sz w:val="24"/>
                <w:lang w:val="en-US" w:eastAsia="zh-CN"/>
              </w:rPr>
              <w:t>竣工环境保护验收调查报告的编制工作。</w:t>
            </w:r>
            <w:r>
              <w:rPr>
                <w:rFonts w:hint="eastAsia" w:cs="Times New Roman"/>
                <w:bCs/>
                <w:color w:val="auto"/>
                <w:kern w:val="6"/>
                <w:sz w:val="24"/>
                <w:lang w:val="en-US" w:eastAsia="zh-CN"/>
              </w:rPr>
              <w:t>接收委托后，编制单位组织技术人员对工程设计、环评文件及批复等资料进行了认真研读，并于2024年11月19日-11月21日赴现场进行了实地踏勘，在调查了解项目周边自然环境状况，项目运行及生态影响及恢复措施的基础上，按照环境保护法律、法规和有关规范规定，编制完成了</w:t>
            </w:r>
            <w:r>
              <w:rPr>
                <w:rFonts w:hint="default" w:cs="Times New Roman"/>
                <w:bCs/>
                <w:color w:val="auto"/>
                <w:kern w:val="6"/>
                <w:sz w:val="24"/>
                <w:lang w:val="en-US" w:eastAsia="zh-CN"/>
              </w:rPr>
              <w:t>《</w:t>
            </w:r>
            <w:r>
              <w:rPr>
                <w:rFonts w:hint="eastAsia" w:cs="Times New Roman"/>
                <w:bCs/>
                <w:color w:val="auto"/>
                <w:kern w:val="6"/>
                <w:sz w:val="24"/>
                <w:lang w:val="en-US" w:eastAsia="zh-CN"/>
              </w:rPr>
              <w:t>济南热力有限公司</w:t>
            </w:r>
            <w:r>
              <w:rPr>
                <w:rFonts w:hint="default" w:cs="Times New Roman"/>
                <w:bCs/>
                <w:color w:val="auto"/>
                <w:kern w:val="6"/>
                <w:sz w:val="24"/>
                <w:lang w:val="en-US" w:eastAsia="zh-CN"/>
              </w:rPr>
              <w:t>石热入济长距离输送供热工程（泰安段）竣工环境保护验收调查</w:t>
            </w:r>
            <w:r>
              <w:rPr>
                <w:rFonts w:hint="eastAsia" w:cs="Times New Roman"/>
                <w:bCs/>
                <w:color w:val="auto"/>
                <w:kern w:val="6"/>
                <w:sz w:val="24"/>
                <w:lang w:val="en-US" w:eastAsia="zh-CN"/>
              </w:rPr>
              <w:t>表</w:t>
            </w:r>
            <w:r>
              <w:rPr>
                <w:rFonts w:hint="default" w:cs="Times New Roman"/>
                <w:bCs/>
                <w:color w:val="auto"/>
                <w:kern w:val="6"/>
                <w:sz w:val="24"/>
                <w:lang w:val="en-US" w:eastAsia="zh-CN"/>
              </w:rPr>
              <w:t>》。</w:t>
            </w:r>
          </w:p>
          <w:p>
            <w:pPr>
              <w:pStyle w:val="69"/>
              <w:spacing w:before="2" w:line="364" w:lineRule="auto"/>
              <w:ind w:left="112" w:right="-44" w:firstLine="482"/>
              <w:rPr>
                <w:rFonts w:hint="eastAsia" w:ascii="Times New Roman" w:hAnsi="Times New Roman" w:eastAsia="宋体" w:cs="Times New Roman"/>
                <w:color w:val="auto"/>
                <w:kern w:val="2"/>
                <w:sz w:val="24"/>
                <w:szCs w:val="24"/>
                <w:lang w:val="en-US" w:eastAsia="zh-CN" w:bidi="ar-SA"/>
              </w:rPr>
            </w:pPr>
          </w:p>
        </w:tc>
      </w:tr>
    </w:tbl>
    <w:p>
      <w:pPr>
        <w:autoSpaceDE w:val="0"/>
        <w:autoSpaceDN w:val="0"/>
        <w:adjustRightInd w:val="0"/>
        <w:jc w:val="center"/>
        <w:rPr>
          <w:rFonts w:hint="default" w:ascii="Times New Roman" w:hAnsi="Times New Roman" w:eastAsia="宋体" w:cs="Times New Roman"/>
          <w:b/>
          <w:bCs/>
          <w:color w:val="auto"/>
          <w:sz w:val="32"/>
        </w:rPr>
      </w:pPr>
      <w:r>
        <w:rPr>
          <w:rFonts w:hint="default" w:ascii="Times New Roman" w:hAnsi="Times New Roman" w:eastAsia="宋体" w:cs="Times New Roman"/>
          <w:b/>
          <w:bCs/>
          <w:color w:val="auto"/>
          <w:sz w:val="32"/>
        </w:rPr>
        <w:t>表 2 调查范围、因子、目标、重点</w:t>
      </w:r>
    </w:p>
    <w:tbl>
      <w:tblPr>
        <w:tblStyle w:val="22"/>
        <w:tblW w:w="958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28" w:type="dxa"/>
          <w:bottom w:w="0" w:type="dxa"/>
          <w:right w:w="28" w:type="dxa"/>
        </w:tblCellMar>
      </w:tblPr>
      <w:tblGrid>
        <w:gridCol w:w="1249"/>
        <w:gridCol w:w="833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1249" w:type="dxa"/>
            <w:tcBorders>
              <w:tl2br w:val="nil"/>
              <w:tr2bl w:val="nil"/>
            </w:tcBorders>
            <w:vAlign w:val="center"/>
          </w:tcPr>
          <w:p>
            <w:pPr>
              <w:autoSpaceDE w:val="0"/>
              <w:autoSpaceDN w:val="0"/>
              <w:adjustRightInd w:val="0"/>
              <w:spacing w:line="340" w:lineRule="exact"/>
              <w:jc w:val="center"/>
              <w:rPr>
                <w:b/>
                <w:bCs/>
                <w:color w:val="auto"/>
                <w:sz w:val="24"/>
                <w:szCs w:val="24"/>
              </w:rPr>
            </w:pPr>
            <w:r>
              <w:rPr>
                <w:b/>
                <w:bCs/>
                <w:color w:val="auto"/>
                <w:sz w:val="24"/>
                <w:szCs w:val="24"/>
              </w:rPr>
              <w:t>调查范围</w:t>
            </w:r>
          </w:p>
        </w:tc>
        <w:tc>
          <w:tcPr>
            <w:tcW w:w="8334" w:type="dxa"/>
            <w:tcBorders>
              <w:tl2br w:val="nil"/>
              <w:tr2bl w:val="nil"/>
            </w:tcBorders>
            <w:vAlign w:val="center"/>
          </w:tcPr>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 xml:space="preserve">根据《建设项目竣工环境保护验收技术规范 </w:t>
            </w:r>
            <w:r>
              <w:rPr>
                <w:rFonts w:hint="eastAsia" w:ascii="Times New Roman" w:hAnsi="Times New Roman" w:eastAsia="宋体" w:cs="Times New Roman"/>
                <w:color w:val="auto"/>
                <w:sz w:val="24"/>
                <w:szCs w:val="24"/>
                <w:lang w:val="en-US" w:eastAsia="zh-CN"/>
              </w:rPr>
              <w:t>生态影响类</w:t>
            </w:r>
            <w:r>
              <w:rPr>
                <w:rFonts w:hint="default" w:ascii="Times New Roman" w:hAnsi="Times New Roman" w:eastAsia="宋体" w:cs="Times New Roman"/>
                <w:color w:val="auto"/>
                <w:sz w:val="24"/>
                <w:szCs w:val="24"/>
                <w:lang w:val="en-US" w:eastAsia="zh-CN"/>
              </w:rPr>
              <w:t xml:space="preserve">》（HJ </w:t>
            </w:r>
            <w:r>
              <w:rPr>
                <w:rFonts w:hint="eastAsia" w:ascii="Times New Roman" w:hAnsi="Times New Roman" w:eastAsia="宋体" w:cs="Times New Roman"/>
                <w:color w:val="auto"/>
                <w:sz w:val="24"/>
                <w:szCs w:val="24"/>
                <w:lang w:val="en-US" w:eastAsia="zh-CN"/>
              </w:rPr>
              <w:t>394</w:t>
            </w:r>
            <w:r>
              <w:rPr>
                <w:rFonts w:hint="default" w:ascii="Times New Roman" w:hAnsi="Times New Roman" w:eastAsia="宋体" w:cs="Times New Roman"/>
                <w:color w:val="auto"/>
                <w:sz w:val="24"/>
                <w:szCs w:val="24"/>
                <w:lang w:val="en-US" w:eastAsia="zh-CN"/>
              </w:rPr>
              <w:t>-20</w:t>
            </w:r>
            <w:r>
              <w:rPr>
                <w:rFonts w:hint="eastAsia" w:ascii="Times New Roman" w:hAnsi="Times New Roman" w:eastAsia="宋体" w:cs="Times New Roman"/>
                <w:color w:val="auto"/>
                <w:sz w:val="24"/>
                <w:szCs w:val="24"/>
                <w:lang w:val="en-US" w:eastAsia="zh-CN"/>
              </w:rPr>
              <w:t>07</w:t>
            </w:r>
            <w:r>
              <w:rPr>
                <w:rFonts w:hint="default"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要求，并结合本项目实际建设情况，本项目验收调查范围与环评阶段范围一致，即济南热力有限公司</w:t>
            </w:r>
            <w:r>
              <w:rPr>
                <w:rFonts w:hint="default" w:ascii="Times New Roman" w:hAnsi="Times New Roman" w:eastAsia="宋体" w:cs="Times New Roman"/>
                <w:color w:val="auto"/>
                <w:sz w:val="24"/>
                <w:szCs w:val="24"/>
                <w:lang w:val="en-US" w:eastAsia="zh-CN"/>
              </w:rPr>
              <w:t>石热入济长距离输送供热工程（泰安段）</w:t>
            </w:r>
            <w:r>
              <w:rPr>
                <w:rFonts w:hint="eastAsia" w:ascii="Times New Roman" w:hAnsi="Times New Roman" w:eastAsia="宋体" w:cs="Times New Roman"/>
                <w:color w:val="auto"/>
                <w:sz w:val="24"/>
                <w:szCs w:val="24"/>
                <w:lang w:val="en-US" w:eastAsia="zh-CN"/>
              </w:rPr>
              <w:t>全部建设内容</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详见表2-1。</w:t>
            </w:r>
          </w:p>
          <w:p>
            <w:pPr>
              <w:pStyle w:val="69"/>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b/>
                <w:color w:val="auto"/>
                <w:spacing w:val="0"/>
                <w:w w:val="100"/>
                <w:sz w:val="24"/>
                <w:highlight w:val="none"/>
              </w:rPr>
            </w:pPr>
            <w:r>
              <w:rPr>
                <w:b/>
                <w:color w:val="auto"/>
                <w:spacing w:val="0"/>
                <w:w w:val="100"/>
                <w:sz w:val="24"/>
                <w:highlight w:val="none"/>
              </w:rPr>
              <w:t>表</w:t>
            </w:r>
            <w:r>
              <w:rPr>
                <w:rFonts w:ascii="Times New Roman" w:eastAsia="Times New Roman"/>
                <w:b/>
                <w:color w:val="auto"/>
                <w:spacing w:val="0"/>
                <w:w w:val="100"/>
                <w:sz w:val="24"/>
                <w:highlight w:val="none"/>
              </w:rPr>
              <w:t xml:space="preserve">2-1  </w:t>
            </w:r>
            <w:r>
              <w:rPr>
                <w:b/>
                <w:color w:val="auto"/>
                <w:spacing w:val="0"/>
                <w:w w:val="100"/>
                <w:sz w:val="24"/>
                <w:highlight w:val="none"/>
              </w:rPr>
              <w:t>调查范围</w:t>
            </w:r>
          </w:p>
          <w:tbl>
            <w:tblPr>
              <w:tblStyle w:val="23"/>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68"/>
              <w:gridCol w:w="677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0"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default" w:ascii="Times New Roman" w:hAnsi="Times New Roman" w:eastAsia="宋体" w:cs="Times New Roman"/>
                      <w:b/>
                      <w:color w:val="auto"/>
                      <w:spacing w:val="0"/>
                      <w:w w:val="100"/>
                      <w:sz w:val="21"/>
                      <w:szCs w:val="21"/>
                      <w:vertAlign w:val="baseline"/>
                      <w:lang w:eastAsia="zh-CN"/>
                    </w:rPr>
                  </w:pPr>
                  <w:r>
                    <w:rPr>
                      <w:rFonts w:hint="eastAsia" w:ascii="Times New Roman" w:hAnsi="Times New Roman" w:cs="Times New Roman"/>
                      <w:b/>
                      <w:color w:val="auto"/>
                      <w:spacing w:val="0"/>
                      <w:w w:val="100"/>
                      <w:sz w:val="21"/>
                      <w:szCs w:val="21"/>
                      <w:vertAlign w:val="baseline"/>
                      <w:lang w:eastAsia="zh-CN"/>
                    </w:rPr>
                    <w:t>环境要素</w:t>
                  </w:r>
                </w:p>
              </w:tc>
              <w:tc>
                <w:tcPr>
                  <w:tcW w:w="4109"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default" w:ascii="Times New Roman" w:hAnsi="Times New Roman" w:eastAsia="宋体" w:cs="Times New Roman"/>
                      <w:b/>
                      <w:color w:val="auto"/>
                      <w:spacing w:val="0"/>
                      <w:w w:val="100"/>
                      <w:sz w:val="21"/>
                      <w:szCs w:val="21"/>
                      <w:vertAlign w:val="baseline"/>
                      <w:lang w:eastAsia="zh-CN"/>
                    </w:rPr>
                  </w:pPr>
                  <w:r>
                    <w:rPr>
                      <w:rFonts w:hint="default" w:ascii="Times New Roman" w:hAnsi="Times New Roman" w:cs="Times New Roman"/>
                      <w:b/>
                      <w:color w:val="auto"/>
                      <w:spacing w:val="0"/>
                      <w:w w:val="100"/>
                      <w:sz w:val="21"/>
                      <w:szCs w:val="21"/>
                      <w:vertAlign w:val="baseline"/>
                      <w:lang w:eastAsia="zh-CN"/>
                    </w:rPr>
                    <w:t>调查范围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7" w:hRule="atLeast"/>
                <w:jc w:val="center"/>
              </w:trPr>
              <w:tc>
                <w:tcPr>
                  <w:tcW w:w="890"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default"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生态环境</w:t>
                  </w:r>
                </w:p>
              </w:tc>
              <w:tc>
                <w:tcPr>
                  <w:tcW w:w="4109"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default" w:ascii="Times New Roman" w:hAnsi="Times New Roman" w:cs="Times New Roman"/>
                      <w:b w:val="0"/>
                      <w:bCs/>
                      <w:color w:val="auto"/>
                      <w:spacing w:val="0"/>
                      <w:w w:val="100"/>
                      <w:sz w:val="21"/>
                      <w:szCs w:val="21"/>
                      <w:vertAlign w:val="baseline"/>
                      <w:lang w:val="en-US" w:eastAsia="zh-CN"/>
                    </w:rPr>
                  </w:pPr>
                  <w:r>
                    <w:rPr>
                      <w:rFonts w:hint="eastAsia" w:ascii="Times New Roman" w:hAnsi="Times New Roman" w:cs="Times New Roman"/>
                      <w:b w:val="0"/>
                      <w:bCs/>
                      <w:color w:val="auto"/>
                      <w:spacing w:val="0"/>
                      <w:w w:val="100"/>
                      <w:sz w:val="21"/>
                      <w:szCs w:val="21"/>
                      <w:vertAlign w:val="baseline"/>
                      <w:lang w:eastAsia="zh-CN"/>
                    </w:rPr>
                    <w:t>管道中心线向两侧外延300m，总评价范围为2.9km</w:t>
                  </w:r>
                  <w:r>
                    <w:rPr>
                      <w:rFonts w:hint="eastAsia" w:ascii="Times New Roman" w:hAnsi="Times New Roman" w:cs="Times New Roman"/>
                      <w:b w:val="0"/>
                      <w:bCs/>
                      <w:color w:val="auto"/>
                      <w:spacing w:val="0"/>
                      <w:w w:val="100"/>
                      <w:sz w:val="21"/>
                      <w:szCs w:val="21"/>
                      <w:vertAlign w:val="superscript"/>
                      <w:lang w:eastAsia="zh-CN"/>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90"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left="0" w:leftChars="0" w:right="0" w:rightChars="0"/>
                    <w:jc w:val="center"/>
                    <w:textAlignment w:val="auto"/>
                    <w:outlineLvl w:val="9"/>
                    <w:rPr>
                      <w:rFonts w:hint="default" w:ascii="Times New Roman" w:hAnsi="Times New Roman" w:eastAsia="宋体"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水环境</w:t>
                  </w:r>
                </w:p>
              </w:tc>
              <w:tc>
                <w:tcPr>
                  <w:tcW w:w="4109"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left="0" w:leftChars="0" w:right="0" w:rightChars="0"/>
                    <w:jc w:val="center"/>
                    <w:textAlignment w:val="auto"/>
                    <w:outlineLvl w:val="9"/>
                    <w:rPr>
                      <w:rFonts w:hint="eastAsia" w:ascii="Times New Roman" w:hAnsi="Times New Roman" w:cs="Times New Roman"/>
                      <w:b w:val="0"/>
                      <w:bCs/>
                      <w:color w:val="auto"/>
                      <w:spacing w:val="0"/>
                      <w:w w:val="100"/>
                      <w:sz w:val="21"/>
                      <w:szCs w:val="21"/>
                      <w:vertAlign w:val="baseline"/>
                      <w:lang w:val="en-US" w:eastAsia="zh-CN"/>
                    </w:rPr>
                  </w:pPr>
                  <w:r>
                    <w:rPr>
                      <w:rFonts w:hint="eastAsia" w:ascii="Times New Roman" w:hAnsi="Times New Roman" w:cs="Times New Roman"/>
                      <w:b w:val="0"/>
                      <w:bCs/>
                      <w:color w:val="auto"/>
                      <w:spacing w:val="0"/>
                      <w:w w:val="100"/>
                      <w:sz w:val="21"/>
                      <w:szCs w:val="21"/>
                      <w:vertAlign w:val="baseline"/>
                      <w:lang w:val="en-US" w:eastAsia="zh-CN"/>
                    </w:rPr>
                    <w:t>1030灌渠、红石河、赵庄水库</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left="0" w:leftChars="0" w:right="0" w:rightChars="0"/>
                    <w:jc w:val="center"/>
                    <w:textAlignment w:val="auto"/>
                    <w:outlineLvl w:val="9"/>
                    <w:rPr>
                      <w:rFonts w:hint="default" w:ascii="Times New Roman" w:hAnsi="Times New Roman" w:eastAsia="宋体" w:cs="Times New Roman"/>
                      <w:b w:val="0"/>
                      <w:bCs/>
                      <w:color w:val="auto"/>
                      <w:spacing w:val="0"/>
                      <w:w w:val="100"/>
                      <w:sz w:val="21"/>
                      <w:szCs w:val="21"/>
                      <w:vertAlign w:val="baseline"/>
                      <w:lang w:val="en-US" w:eastAsia="zh-CN"/>
                    </w:rPr>
                  </w:pPr>
                  <w:r>
                    <w:rPr>
                      <w:rFonts w:hint="default" w:ascii="Times New Roman" w:hAnsi="Times New Roman" w:eastAsia="宋体" w:cs="Times New Roman"/>
                      <w:b w:val="0"/>
                      <w:bCs/>
                      <w:color w:val="auto"/>
                      <w:spacing w:val="0"/>
                      <w:w w:val="100"/>
                      <w:sz w:val="21"/>
                      <w:szCs w:val="21"/>
                      <w:vertAlign w:val="baseline"/>
                      <w:lang w:val="en-US" w:eastAsia="zh-CN"/>
                    </w:rPr>
                    <w:t>地表水执行《地表水环境质量标准》（GB3838-2002）Ⅲ类标准。</w:t>
                  </w:r>
                </w:p>
              </w:tc>
            </w:tr>
          </w:tbl>
          <w:p>
            <w:pPr>
              <w:pStyle w:val="21"/>
              <w:rPr>
                <w:color w:val="auto"/>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340" w:hRule="atLeast"/>
          <w:jc w:val="center"/>
        </w:trPr>
        <w:tc>
          <w:tcPr>
            <w:tcW w:w="1249" w:type="dxa"/>
            <w:tcBorders>
              <w:tl2br w:val="nil"/>
              <w:tr2bl w:val="nil"/>
            </w:tcBorders>
            <w:vAlign w:val="center"/>
          </w:tcPr>
          <w:p>
            <w:pPr>
              <w:jc w:val="center"/>
              <w:rPr>
                <w:b/>
                <w:bCs/>
                <w:color w:val="auto"/>
                <w:sz w:val="24"/>
                <w:szCs w:val="24"/>
              </w:rPr>
            </w:pPr>
            <w:r>
              <w:rPr>
                <w:b/>
                <w:bCs/>
                <w:color w:val="auto"/>
                <w:sz w:val="24"/>
                <w:szCs w:val="24"/>
              </w:rPr>
              <w:t>调查因子</w:t>
            </w:r>
          </w:p>
        </w:tc>
        <w:tc>
          <w:tcPr>
            <w:tcW w:w="8334" w:type="dxa"/>
            <w:tcBorders>
              <w:tl2br w:val="nil"/>
              <w:tr2bl w:val="nil"/>
            </w:tcBorders>
            <w:vAlign w:val="center"/>
          </w:tcPr>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1、大气环境及污染源：扬尘、燃料废气等；</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2、声环境：等效连续A声级LAeq；</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3、水环境：pH值、悬浮物、化学需氧量、五日生化需氧量、氨氮；</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4、固体废物：</w:t>
            </w:r>
            <w:r>
              <w:rPr>
                <w:rFonts w:hint="eastAsia" w:cs="Times New Roman"/>
                <w:color w:val="auto"/>
                <w:sz w:val="24"/>
                <w:szCs w:val="24"/>
                <w:lang w:val="en-US" w:eastAsia="zh-CN"/>
              </w:rPr>
              <w:t>废弃土石方和</w:t>
            </w:r>
            <w:r>
              <w:rPr>
                <w:rFonts w:hint="eastAsia" w:ascii="Times New Roman" w:hAnsi="Times New Roman" w:eastAsia="宋体" w:cs="Times New Roman"/>
                <w:color w:val="auto"/>
                <w:sz w:val="24"/>
                <w:szCs w:val="24"/>
                <w:lang w:val="en-US" w:eastAsia="zh-CN"/>
              </w:rPr>
              <w:t>生活垃圾；</w:t>
            </w:r>
          </w:p>
          <w:p>
            <w:pPr>
              <w:autoSpaceDE w:val="0"/>
              <w:autoSpaceDN w:val="0"/>
              <w:adjustRightInd w:val="0"/>
              <w:spacing w:line="360" w:lineRule="auto"/>
              <w:ind w:firstLine="480" w:firstLineChars="200"/>
              <w:rPr>
                <w:color w:val="auto"/>
                <w:kern w:val="0"/>
                <w:sz w:val="24"/>
                <w:szCs w:val="24"/>
                <w:highlight w:val="yellow"/>
              </w:rPr>
            </w:pPr>
            <w:r>
              <w:rPr>
                <w:rFonts w:hint="eastAsia" w:ascii="Times New Roman" w:hAnsi="Times New Roman" w:eastAsia="宋体" w:cs="Times New Roman"/>
                <w:color w:val="auto"/>
                <w:sz w:val="24"/>
                <w:szCs w:val="24"/>
                <w:lang w:val="en-US" w:eastAsia="zh-CN"/>
              </w:rPr>
              <w:t>5、生态环境：项目占地情况、生物种类，植被分布及水土流失防治情况，生态建设及保护措施落实情况及有效性。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5379" w:hRule="atLeast"/>
          <w:jc w:val="center"/>
        </w:trPr>
        <w:tc>
          <w:tcPr>
            <w:tcW w:w="1249" w:type="dxa"/>
            <w:tcBorders>
              <w:tl2br w:val="nil"/>
              <w:tr2bl w:val="nil"/>
            </w:tcBorders>
            <w:vAlign w:val="center"/>
          </w:tcPr>
          <w:p>
            <w:pPr>
              <w:autoSpaceDE w:val="0"/>
              <w:autoSpaceDN w:val="0"/>
              <w:adjustRightInd w:val="0"/>
              <w:spacing w:line="340" w:lineRule="exact"/>
              <w:jc w:val="center"/>
              <w:rPr>
                <w:b/>
                <w:bCs/>
                <w:color w:val="auto"/>
                <w:szCs w:val="21"/>
              </w:rPr>
            </w:pPr>
            <w:r>
              <w:rPr>
                <w:b/>
                <w:bCs/>
                <w:color w:val="auto"/>
                <w:sz w:val="24"/>
                <w:szCs w:val="24"/>
              </w:rPr>
              <w:t>环境敏感目标</w:t>
            </w:r>
          </w:p>
        </w:tc>
        <w:tc>
          <w:tcPr>
            <w:tcW w:w="8334" w:type="dxa"/>
            <w:tcBorders>
              <w:tl2br w:val="nil"/>
              <w:tr2bl w:val="nil"/>
            </w:tcBorders>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2"/>
                <w:sz w:val="24"/>
                <w:szCs w:val="24"/>
                <w:lang w:val="en-US" w:eastAsia="zh-CN" w:bidi="ar-SA"/>
              </w:rPr>
              <w:t>本项目所在区域环境空气质量功能区为</w:t>
            </w:r>
            <w:r>
              <w:rPr>
                <w:rFonts w:hint="eastAsia" w:ascii="Times New Roman" w:hAnsi="Times New Roman" w:eastAsia="宋体" w:cs="Times New Roman"/>
                <w:color w:val="auto"/>
                <w:kern w:val="2"/>
                <w:sz w:val="24"/>
                <w:szCs w:val="24"/>
                <w:lang w:val="en-US" w:eastAsia="zh-CN" w:bidi="ar-SA"/>
              </w:rPr>
              <w:t>二类区，</w:t>
            </w:r>
            <w:r>
              <w:rPr>
                <w:rFonts w:hint="default" w:ascii="Times New Roman" w:hAnsi="Times New Roman" w:eastAsia="宋体" w:cs="Times New Roman"/>
                <w:color w:val="auto"/>
                <w:kern w:val="2"/>
                <w:sz w:val="24"/>
                <w:szCs w:val="24"/>
                <w:lang w:val="en-US" w:eastAsia="zh-CN" w:bidi="ar-SA"/>
              </w:rPr>
              <w:t>常规大气污染物执行《环境空气质量标准》（GB</w:t>
            </w:r>
            <w:r>
              <w:rPr>
                <w:rFonts w:hint="eastAsia" w:cs="Times New Roman"/>
                <w:color w:val="auto"/>
                <w:kern w:val="2"/>
                <w:sz w:val="24"/>
                <w:szCs w:val="24"/>
                <w:lang w:val="en-US" w:eastAsia="zh-CN" w:bidi="ar-SA"/>
              </w:rPr>
              <w:t xml:space="preserve"> </w:t>
            </w:r>
            <w:r>
              <w:rPr>
                <w:rFonts w:hint="default" w:ascii="Times New Roman" w:hAnsi="Times New Roman" w:eastAsia="宋体" w:cs="Times New Roman"/>
                <w:color w:val="auto"/>
                <w:kern w:val="2"/>
                <w:sz w:val="24"/>
                <w:szCs w:val="24"/>
                <w:lang w:val="en-US" w:eastAsia="zh-CN" w:bidi="ar-SA"/>
              </w:rPr>
              <w:t>3095-2012）及修改单中的二级标准；声环境功能区执行《声环境质量标准》（GB 3096-2008）中2类</w:t>
            </w:r>
            <w:r>
              <w:rPr>
                <w:rFonts w:hint="eastAsia" w:ascii="Times New Roman" w:hAnsi="Times New Roman" w:eastAsia="宋体" w:cs="Times New Roman"/>
                <w:color w:val="auto"/>
                <w:kern w:val="2"/>
                <w:sz w:val="24"/>
                <w:szCs w:val="24"/>
                <w:lang w:val="en-US" w:eastAsia="zh-CN" w:bidi="ar-SA"/>
              </w:rPr>
              <w:t>、4a类</w:t>
            </w:r>
            <w:r>
              <w:rPr>
                <w:rFonts w:hint="default" w:ascii="Times New Roman" w:hAnsi="Times New Roman" w:eastAsia="宋体" w:cs="Times New Roman"/>
                <w:color w:val="auto"/>
                <w:kern w:val="2"/>
                <w:sz w:val="24"/>
                <w:szCs w:val="24"/>
                <w:lang w:val="en-US" w:eastAsia="zh-CN" w:bidi="ar-SA"/>
              </w:rPr>
              <w:t>标准；地下水执行《地下水质量标准》</w:t>
            </w:r>
            <w:r>
              <w:rPr>
                <w:rFonts w:hint="eastAsia" w:ascii="Times New Roman" w:hAnsi="Times New Roman" w:eastAsia="宋体"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GB/T 14848-2017</w:t>
            </w:r>
            <w:r>
              <w:rPr>
                <w:rFonts w:hint="eastAsia" w:ascii="Times New Roman" w:hAnsi="Times New Roman" w:eastAsia="宋体"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中的Ⅲ类标准；地表水</w:t>
            </w:r>
            <w:r>
              <w:rPr>
                <w:rFonts w:hint="eastAsia" w:ascii="Times New Roman" w:hAnsi="Times New Roman" w:eastAsia="宋体" w:cs="Times New Roman"/>
                <w:color w:val="auto"/>
                <w:kern w:val="2"/>
                <w:sz w:val="24"/>
                <w:szCs w:val="24"/>
                <w:lang w:val="en-US" w:eastAsia="zh-CN" w:bidi="ar-SA"/>
              </w:rPr>
              <w:t>赵庄水库及红石河</w:t>
            </w:r>
            <w:r>
              <w:rPr>
                <w:rFonts w:hint="default" w:ascii="Times New Roman" w:hAnsi="Times New Roman" w:eastAsia="宋体" w:cs="Times New Roman"/>
                <w:color w:val="auto"/>
                <w:kern w:val="2"/>
                <w:sz w:val="24"/>
                <w:szCs w:val="24"/>
                <w:lang w:val="en-US" w:eastAsia="zh-CN" w:bidi="ar-SA"/>
              </w:rPr>
              <w:t>执行《地表水环境质量标准》（GB3838-2002）IV类水体。</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val="0"/>
                <w:color w:val="auto"/>
                <w:sz w:val="24"/>
                <w:szCs w:val="24"/>
                <w:lang w:val="en-US" w:eastAsia="zh-CN"/>
              </w:rPr>
            </w:pPr>
            <w:r>
              <w:rPr>
                <w:rFonts w:hint="eastAsia" w:ascii="Times New Roman" w:hAnsi="Times New Roman" w:eastAsia="宋体" w:cs="Times New Roman"/>
                <w:color w:val="auto"/>
                <w:kern w:val="2"/>
                <w:sz w:val="24"/>
                <w:szCs w:val="24"/>
                <w:lang w:val="en-US" w:eastAsia="zh-CN" w:bidi="ar-SA"/>
              </w:rPr>
              <w:t>本</w:t>
            </w:r>
            <w:r>
              <w:rPr>
                <w:rFonts w:hint="default" w:ascii="Times New Roman" w:hAnsi="Times New Roman" w:eastAsia="宋体" w:cs="Times New Roman"/>
                <w:color w:val="auto"/>
                <w:kern w:val="2"/>
                <w:sz w:val="24"/>
                <w:szCs w:val="24"/>
                <w:lang w:val="en-US" w:eastAsia="zh-CN" w:bidi="ar-SA"/>
              </w:rPr>
              <w:t>项目是济南域外余热入济通道的重要组成部分，主要敷设于道路下方、防护绿带下方，管道工程均为临时占地，施工后及时复垦，</w:t>
            </w:r>
            <w:r>
              <w:rPr>
                <w:rFonts w:hint="eastAsia" w:ascii="Times New Roman" w:hAnsi="Times New Roman" w:eastAsia="宋体" w:cs="Times New Roman"/>
                <w:color w:val="auto"/>
                <w:kern w:val="2"/>
                <w:sz w:val="24"/>
                <w:szCs w:val="24"/>
                <w:lang w:val="en-US" w:eastAsia="zh-CN" w:bidi="ar-SA"/>
              </w:rPr>
              <w:t>不新增永久占地，根据济南市</w:t>
            </w:r>
            <w:r>
              <w:rPr>
                <w:rFonts w:hint="default" w:ascii="Times New Roman" w:hAnsi="Times New Roman" w:eastAsia="宋体" w:cs="Times New Roman"/>
                <w:color w:val="auto"/>
                <w:kern w:val="2"/>
                <w:sz w:val="24"/>
                <w:szCs w:val="24"/>
                <w:lang w:val="en-US" w:eastAsia="zh-CN" w:bidi="ar-SA"/>
              </w:rPr>
              <w:t>划定</w:t>
            </w:r>
            <w:r>
              <w:rPr>
                <w:rFonts w:hint="eastAsia" w:ascii="Times New Roman" w:hAnsi="Times New Roman" w:eastAsia="宋体" w:cs="Times New Roman"/>
                <w:color w:val="auto"/>
                <w:kern w:val="2"/>
                <w:sz w:val="24"/>
                <w:szCs w:val="24"/>
                <w:lang w:val="en-US" w:eastAsia="zh-CN" w:bidi="ar-SA"/>
              </w:rPr>
              <w:t>的</w:t>
            </w:r>
            <w:r>
              <w:rPr>
                <w:rFonts w:hint="default" w:ascii="Times New Roman" w:hAnsi="Times New Roman" w:eastAsia="宋体" w:cs="Times New Roman"/>
                <w:color w:val="auto"/>
                <w:kern w:val="2"/>
                <w:sz w:val="24"/>
                <w:szCs w:val="24"/>
                <w:lang w:val="en-US" w:eastAsia="zh-CN" w:bidi="ar-SA"/>
              </w:rPr>
              <w:t>生态保护红线总面积</w:t>
            </w:r>
            <w:r>
              <w:rPr>
                <w:rFonts w:hint="eastAsia" w:ascii="Times New Roman" w:hAnsi="Times New Roman" w:eastAsia="宋体" w:cs="Times New Roman"/>
                <w:color w:val="auto"/>
                <w:kern w:val="2"/>
                <w:sz w:val="24"/>
                <w:szCs w:val="24"/>
                <w:lang w:val="en-US" w:eastAsia="zh-CN" w:bidi="ar-SA"/>
              </w:rPr>
              <w:t>，本项目占地不在生态</w:t>
            </w:r>
            <w:r>
              <w:rPr>
                <w:rFonts w:hint="default" w:ascii="Times New Roman" w:hAnsi="Times New Roman" w:eastAsia="宋体" w:cs="Times New Roman"/>
                <w:color w:val="auto"/>
                <w:kern w:val="2"/>
                <w:sz w:val="24"/>
                <w:szCs w:val="24"/>
                <w:lang w:val="en-US" w:eastAsia="zh-CN" w:bidi="ar-SA"/>
              </w:rPr>
              <w:t>红线区</w:t>
            </w:r>
            <w:r>
              <w:rPr>
                <w:rFonts w:hint="eastAsia" w:ascii="Times New Roman" w:hAnsi="Times New Roman" w:eastAsia="宋体" w:cs="Times New Roman"/>
                <w:color w:val="auto"/>
                <w:kern w:val="2"/>
                <w:sz w:val="24"/>
                <w:szCs w:val="24"/>
                <w:lang w:val="en-US" w:eastAsia="zh-CN" w:bidi="ar-SA"/>
              </w:rPr>
              <w:t>范围内，项目选址符合</w:t>
            </w:r>
            <w:r>
              <w:rPr>
                <w:rFonts w:hint="eastAsia" w:ascii="Times New Roman" w:hAnsi="Times New Roman" w:cs="Times New Roman"/>
                <w:color w:val="auto"/>
                <w:sz w:val="24"/>
                <w:szCs w:val="24"/>
                <w:lang w:val="en-US" w:eastAsia="zh-CN"/>
              </w:rPr>
              <w:t>生态红线相关要求。</w:t>
            </w:r>
            <w:r>
              <w:rPr>
                <w:rFonts w:hint="default" w:ascii="Times New Roman" w:hAnsi="Times New Roman" w:eastAsia="宋体" w:cs="Times New Roman"/>
                <w:color w:val="auto"/>
                <w:sz w:val="24"/>
                <w:szCs w:val="24"/>
                <w:lang w:val="en-US" w:eastAsia="zh-CN"/>
              </w:rPr>
              <w:t>依据</w:t>
            </w:r>
            <w:r>
              <w:rPr>
                <w:rFonts w:hint="eastAsia" w:ascii="Times New Roman" w:hAnsi="Times New Roman" w:eastAsia="宋体" w:cs="Times New Roman"/>
                <w:color w:val="auto"/>
                <w:sz w:val="24"/>
                <w:szCs w:val="24"/>
                <w:lang w:val="en-US" w:eastAsia="zh-CN"/>
              </w:rPr>
              <w:t>项目</w:t>
            </w:r>
            <w:r>
              <w:rPr>
                <w:rFonts w:hint="default" w:ascii="Times New Roman" w:hAnsi="Times New Roman" w:eastAsia="宋体" w:cs="Times New Roman"/>
                <w:color w:val="auto"/>
                <w:sz w:val="24"/>
                <w:szCs w:val="24"/>
                <w:lang w:val="en-US" w:eastAsia="zh-CN"/>
              </w:rPr>
              <w:t>特点和沿线地区环境特征，在查阅《济南热力集团有限公司</w:t>
            </w:r>
            <w:r>
              <w:rPr>
                <w:rFonts w:hint="eastAsia" w:ascii="Times New Roman" w:hAnsi="Times New Roman" w:eastAsia="宋体" w:cs="Times New Roman"/>
                <w:color w:val="auto"/>
                <w:sz w:val="24"/>
                <w:szCs w:val="24"/>
                <w:lang w:val="en-US" w:eastAsia="zh-CN"/>
              </w:rPr>
              <w:t>石热入济长距离输送供热工程（泰安段）环境影响评价报告表</w:t>
            </w:r>
            <w:r>
              <w:rPr>
                <w:rFonts w:hint="default" w:ascii="Times New Roman" w:hAnsi="Times New Roman" w:eastAsia="宋体" w:cs="Times New Roman"/>
                <w:color w:val="auto"/>
                <w:sz w:val="24"/>
                <w:szCs w:val="24"/>
                <w:lang w:val="en-US" w:eastAsia="zh-CN"/>
              </w:rPr>
              <w:t>》等相关资料的基础上，结合现场勘查，本</w:t>
            </w:r>
            <w:r>
              <w:rPr>
                <w:rFonts w:hint="eastAsia" w:ascii="Times New Roman" w:hAnsi="Times New Roman" w:eastAsia="宋体" w:cs="Times New Roman"/>
                <w:color w:val="auto"/>
                <w:sz w:val="24"/>
                <w:szCs w:val="24"/>
                <w:lang w:val="en-US" w:eastAsia="zh-CN"/>
              </w:rPr>
              <w:t>项目区域主要环境影响保护目标</w:t>
            </w:r>
            <w:r>
              <w:rPr>
                <w:rFonts w:hint="eastAsia" w:ascii="Times New Roman" w:hAnsi="Times New Roman" w:cs="Times New Roman"/>
                <w:b w:val="0"/>
                <w:bCs w:val="0"/>
                <w:color w:val="auto"/>
                <w:sz w:val="24"/>
                <w:szCs w:val="24"/>
                <w:lang w:val="en-US" w:eastAsia="zh-CN"/>
              </w:rPr>
              <w:t>详见表2-2。</w:t>
            </w:r>
          </w:p>
          <w:p>
            <w:pPr>
              <w:pStyle w:val="21"/>
              <w:rPr>
                <w:rFonts w:hint="eastAsia" w:ascii="Times New Roman" w:hAnsi="Times New Roman" w:cs="Times New Roman"/>
                <w:b w:val="0"/>
                <w:bCs w:val="0"/>
                <w:color w:val="auto"/>
                <w:sz w:val="24"/>
                <w:szCs w:val="24"/>
                <w:lang w:val="en-US" w:eastAsia="zh-CN"/>
              </w:rPr>
            </w:pPr>
          </w:p>
          <w:p>
            <w:pPr>
              <w:rPr>
                <w:rFonts w:hint="eastAsia" w:ascii="Times New Roman" w:hAnsi="Times New Roman" w:cs="Times New Roman"/>
                <w:b w:val="0"/>
                <w:bCs w:val="0"/>
                <w:color w:val="auto"/>
                <w:sz w:val="24"/>
                <w:szCs w:val="24"/>
                <w:lang w:val="en-US" w:eastAsia="zh-CN"/>
              </w:rPr>
            </w:pPr>
          </w:p>
          <w:p>
            <w:pPr>
              <w:pStyle w:val="21"/>
              <w:rPr>
                <w:rFonts w:hint="eastAsia"/>
                <w:color w:val="auto"/>
                <w:lang w:val="en-US" w:eastAsia="zh-CN"/>
              </w:rPr>
            </w:pPr>
          </w:p>
          <w:p>
            <w:pPr>
              <w:pStyle w:val="69"/>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rFonts w:hint="default" w:ascii="Times New Roman" w:hAnsi="Times New Roman" w:eastAsia="宋体" w:cs="Times New Roman"/>
                <w:b/>
                <w:color w:val="auto"/>
                <w:spacing w:val="0"/>
                <w:w w:val="100"/>
                <w:sz w:val="24"/>
                <w:highlight w:val="none"/>
                <w:lang w:eastAsia="zh-CN"/>
              </w:rPr>
            </w:pPr>
            <w:r>
              <w:rPr>
                <w:rFonts w:hint="default" w:ascii="Times New Roman" w:hAnsi="Times New Roman" w:eastAsia="宋体" w:cs="Times New Roman"/>
                <w:b/>
                <w:color w:val="auto"/>
                <w:spacing w:val="0"/>
                <w:w w:val="100"/>
                <w:sz w:val="24"/>
                <w:highlight w:val="none"/>
              </w:rPr>
              <w:t>表</w:t>
            </w:r>
            <w:r>
              <w:rPr>
                <w:rFonts w:hint="default" w:ascii="Times New Roman" w:hAnsi="Times New Roman" w:eastAsia="宋体" w:cs="Times New Roman"/>
                <w:b/>
                <w:color w:val="auto"/>
                <w:spacing w:val="0"/>
                <w:w w:val="100"/>
                <w:sz w:val="24"/>
                <w:highlight w:val="none"/>
                <w:lang w:eastAsia="zh-CN"/>
              </w:rPr>
              <w:t>2-</w:t>
            </w:r>
            <w:r>
              <w:rPr>
                <w:rFonts w:hint="default" w:ascii="Times New Roman" w:hAnsi="Times New Roman" w:eastAsia="宋体" w:cs="Times New Roman"/>
                <w:b/>
                <w:color w:val="auto"/>
                <w:spacing w:val="0"/>
                <w:w w:val="100"/>
                <w:sz w:val="24"/>
                <w:highlight w:val="none"/>
                <w:lang w:val="en-US" w:eastAsia="zh-CN"/>
              </w:rPr>
              <w:t>2</w:t>
            </w:r>
            <w:r>
              <w:rPr>
                <w:rFonts w:hint="default" w:ascii="Times New Roman" w:hAnsi="Times New Roman" w:eastAsia="宋体" w:cs="Times New Roman"/>
                <w:b/>
                <w:color w:val="auto"/>
                <w:spacing w:val="0"/>
                <w:w w:val="100"/>
                <w:sz w:val="24"/>
                <w:highlight w:val="none"/>
                <w:lang w:eastAsia="zh-CN"/>
              </w:rPr>
              <w:t xml:space="preserve">  本项目主要环境保护目标及保护级别</w:t>
            </w:r>
          </w:p>
          <w:tbl>
            <w:tblPr>
              <w:tblStyle w:val="22"/>
              <w:tblW w:w="4998" w:type="pct"/>
              <w:tblInd w:w="-1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416"/>
              <w:gridCol w:w="1975"/>
              <w:gridCol w:w="825"/>
              <w:gridCol w:w="1150"/>
              <w:gridCol w:w="287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630" w:hRule="atLeast"/>
              </w:trPr>
              <w:tc>
                <w:tcPr>
                  <w:tcW w:w="858"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环境要素</w:t>
                  </w:r>
                </w:p>
              </w:tc>
              <w:tc>
                <w:tcPr>
                  <w:tcW w:w="1197"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环境保护目标名称</w:t>
                  </w:r>
                </w:p>
              </w:tc>
              <w:tc>
                <w:tcPr>
                  <w:tcW w:w="500"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相对</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方位</w:t>
                  </w:r>
                </w:p>
              </w:tc>
              <w:tc>
                <w:tcPr>
                  <w:tcW w:w="697"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距离</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本项目</w:t>
                  </w:r>
                </w:p>
              </w:tc>
              <w:tc>
                <w:tcPr>
                  <w:tcW w:w="1745"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bCs w:val="0"/>
                      <w:color w:val="auto"/>
                      <w:spacing w:val="0"/>
                      <w:w w:val="100"/>
                      <w:sz w:val="21"/>
                      <w:szCs w:val="21"/>
                      <w:vertAlign w:val="baseline"/>
                      <w:lang w:eastAsia="zh-CN"/>
                    </w:rPr>
                  </w:pPr>
                  <w:r>
                    <w:rPr>
                      <w:rFonts w:hint="eastAsia" w:ascii="Times New Roman" w:hAnsi="Times New Roman" w:cs="Times New Roman"/>
                      <w:b/>
                      <w:bCs w:val="0"/>
                      <w:color w:val="auto"/>
                      <w:spacing w:val="0"/>
                      <w:w w:val="100"/>
                      <w:sz w:val="21"/>
                      <w:szCs w:val="21"/>
                      <w:vertAlign w:val="baseline"/>
                      <w:lang w:eastAsia="zh-CN"/>
                    </w:rPr>
                    <w:t>环境功能</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30" w:hRule="atLeast"/>
              </w:trPr>
              <w:tc>
                <w:tcPr>
                  <w:tcW w:w="858"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大气环境</w:t>
                  </w:r>
                </w:p>
              </w:tc>
              <w:tc>
                <w:tcPr>
                  <w:tcW w:w="1197"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赵庄村</w:t>
                  </w:r>
                </w:p>
              </w:tc>
              <w:tc>
                <w:tcPr>
                  <w:tcW w:w="500"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W</w:t>
                  </w:r>
                </w:p>
              </w:tc>
              <w:tc>
                <w:tcPr>
                  <w:tcW w:w="697"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15m</w:t>
                  </w:r>
                </w:p>
              </w:tc>
              <w:tc>
                <w:tcPr>
                  <w:tcW w:w="1745"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《环境空气质量标准》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（GB3095-2012）二级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24" w:hRule="atLeast"/>
              </w:trPr>
              <w:tc>
                <w:tcPr>
                  <w:tcW w:w="858" w:type="pct"/>
                  <w:vMerge w:val="restar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地表水环境</w:t>
                  </w:r>
                </w:p>
              </w:tc>
              <w:tc>
                <w:tcPr>
                  <w:tcW w:w="1197"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赵庄水库</w:t>
                  </w:r>
                </w:p>
              </w:tc>
              <w:tc>
                <w:tcPr>
                  <w:tcW w:w="500"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W</w:t>
                  </w:r>
                </w:p>
              </w:tc>
              <w:tc>
                <w:tcPr>
                  <w:tcW w:w="697"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16m</w:t>
                  </w:r>
                </w:p>
              </w:tc>
              <w:tc>
                <w:tcPr>
                  <w:tcW w:w="1745" w:type="pct"/>
                  <w:vMerge w:val="restar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《地表水环境质量标准》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（GB3838-2002）IV 类</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20" w:hRule="atLeast"/>
              </w:trPr>
              <w:tc>
                <w:tcPr>
                  <w:tcW w:w="858" w:type="pct"/>
                  <w:vMerge w:val="continue"/>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197"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红石河</w:t>
                  </w:r>
                </w:p>
              </w:tc>
              <w:tc>
                <w:tcPr>
                  <w:tcW w:w="1197" w:type="pct"/>
                  <w:gridSpan w:val="2"/>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架空管穿越</w:t>
                  </w:r>
                </w:p>
              </w:tc>
              <w:tc>
                <w:tcPr>
                  <w:tcW w:w="1745" w:type="pct"/>
                  <w:vMerge w:val="continue"/>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29" w:hRule="atLeast"/>
              </w:trPr>
              <w:tc>
                <w:tcPr>
                  <w:tcW w:w="858" w:type="pct"/>
                  <w:vMerge w:val="continue"/>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c>
                <w:tcPr>
                  <w:tcW w:w="1197"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1030 干渠</w:t>
                  </w:r>
                </w:p>
              </w:tc>
              <w:tc>
                <w:tcPr>
                  <w:tcW w:w="1197" w:type="pct"/>
                  <w:gridSpan w:val="2"/>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架空管穿越</w:t>
                  </w:r>
                </w:p>
              </w:tc>
              <w:tc>
                <w:tcPr>
                  <w:tcW w:w="1745" w:type="pct"/>
                  <w:vMerge w:val="continue"/>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631" w:hRule="atLeast"/>
              </w:trPr>
              <w:tc>
                <w:tcPr>
                  <w:tcW w:w="858"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w:t>
                  </w:r>
                </w:p>
              </w:tc>
              <w:tc>
                <w:tcPr>
                  <w:tcW w:w="1197"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赵庄村</w:t>
                  </w:r>
                </w:p>
              </w:tc>
              <w:tc>
                <w:tcPr>
                  <w:tcW w:w="500"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W</w:t>
                  </w:r>
                </w:p>
              </w:tc>
              <w:tc>
                <w:tcPr>
                  <w:tcW w:w="697"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15m</w:t>
                  </w:r>
                </w:p>
              </w:tc>
              <w:tc>
                <w:tcPr>
                  <w:tcW w:w="1745"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《声环境质量标准》</w:t>
                  </w:r>
                </w:p>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（GB3096-2008）2 类</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858"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生态环境</w:t>
                  </w:r>
                </w:p>
              </w:tc>
              <w:tc>
                <w:tcPr>
                  <w:tcW w:w="1197"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永久基本农田</w:t>
                  </w:r>
                </w:p>
              </w:tc>
              <w:tc>
                <w:tcPr>
                  <w:tcW w:w="1197" w:type="pct"/>
                  <w:gridSpan w:val="2"/>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穿越</w:t>
                  </w:r>
                </w:p>
              </w:tc>
              <w:tc>
                <w:tcPr>
                  <w:tcW w:w="1745" w:type="pct"/>
                  <w:tcBorders>
                    <w:tl2br w:val="nil"/>
                    <w:tr2bl w:val="nil"/>
                  </w:tcBorders>
                  <w:vAlign w:val="center"/>
                </w:tcPr>
                <w:p>
                  <w:pPr>
                    <w:pStyle w:val="69"/>
                    <w:keepNext w:val="0"/>
                    <w:keepLines w:val="0"/>
                    <w:pageBreakBefore w:val="0"/>
                    <w:widowControl w:val="0"/>
                    <w:kinsoku/>
                    <w:wordWrap/>
                    <w:overflowPunct/>
                    <w:topLinePunct w:val="0"/>
                    <w:autoSpaceDE w:val="0"/>
                    <w:autoSpaceDN w:val="0"/>
                    <w:bidi w:val="0"/>
                    <w:adjustRightInd/>
                    <w:snapToGrid/>
                    <w:spacing w:before="0" w:line="240" w:lineRule="auto"/>
                    <w:ind w:right="0"/>
                    <w:jc w:val="center"/>
                    <w:textAlignment w:val="auto"/>
                    <w:outlineLvl w:val="9"/>
                    <w:rPr>
                      <w:rFonts w:hint="eastAsia" w:ascii="Times New Roman" w:hAnsi="Times New Roman" w:cs="Times New Roman"/>
                      <w:b w:val="0"/>
                      <w:bCs/>
                      <w:color w:val="auto"/>
                      <w:spacing w:val="0"/>
                      <w:w w:val="100"/>
                      <w:sz w:val="21"/>
                      <w:szCs w:val="21"/>
                      <w:vertAlign w:val="baseline"/>
                      <w:lang w:eastAsia="zh-CN"/>
                    </w:rPr>
                  </w:pPr>
                  <w:r>
                    <w:rPr>
                      <w:rFonts w:hint="eastAsia" w:ascii="Times New Roman" w:hAnsi="Times New Roman" w:cs="Times New Roman"/>
                      <w:b w:val="0"/>
                      <w:bCs/>
                      <w:color w:val="auto"/>
                      <w:spacing w:val="0"/>
                      <w:w w:val="100"/>
                      <w:sz w:val="21"/>
                      <w:szCs w:val="21"/>
                      <w:vertAlign w:val="baseline"/>
                      <w:lang w:eastAsia="zh-CN"/>
                    </w:rPr>
                    <w:t>--</w:t>
                  </w:r>
                </w:p>
              </w:tc>
            </w:tr>
          </w:tbl>
          <w:p>
            <w:pPr>
              <w:tabs>
                <w:tab w:val="left" w:pos="200"/>
              </w:tabs>
              <w:spacing w:line="360" w:lineRule="auto"/>
              <w:ind w:right="-142"/>
              <w:jc w:val="both"/>
              <w:rPr>
                <w:rFonts w:hint="default" w:eastAsia="宋体"/>
                <w:color w:val="auto"/>
                <w:lang w:val="en-US" w:eastAsia="zh-CN"/>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28" w:type="dxa"/>
            <w:bottom w:w="0" w:type="dxa"/>
            <w:right w:w="28" w:type="dxa"/>
          </w:tblCellMar>
        </w:tblPrEx>
        <w:trPr>
          <w:cantSplit/>
          <w:trHeight w:val="8762" w:hRule="atLeast"/>
          <w:jc w:val="center"/>
        </w:trPr>
        <w:tc>
          <w:tcPr>
            <w:tcW w:w="1249" w:type="dxa"/>
            <w:tcBorders>
              <w:tl2br w:val="nil"/>
              <w:tr2bl w:val="nil"/>
            </w:tcBorders>
            <w:vAlign w:val="center"/>
          </w:tcPr>
          <w:p>
            <w:pPr>
              <w:autoSpaceDE w:val="0"/>
              <w:autoSpaceDN w:val="0"/>
              <w:adjustRightInd w:val="0"/>
              <w:spacing w:line="360" w:lineRule="auto"/>
              <w:jc w:val="center"/>
              <w:rPr>
                <w:b/>
                <w:bCs/>
                <w:color w:val="auto"/>
                <w:sz w:val="24"/>
                <w:szCs w:val="24"/>
              </w:rPr>
            </w:pPr>
            <w:r>
              <w:rPr>
                <w:b/>
                <w:color w:val="auto"/>
                <w:sz w:val="24"/>
                <w:szCs w:val="28"/>
              </w:rPr>
              <w:t>调查重点</w:t>
            </w:r>
          </w:p>
        </w:tc>
        <w:tc>
          <w:tcPr>
            <w:tcW w:w="8334" w:type="dxa"/>
            <w:tcBorders>
              <w:tl2br w:val="nil"/>
              <w:tr2bl w:val="nil"/>
            </w:tcBorders>
            <w:vAlign w:val="center"/>
          </w:tcPr>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验收调查的重点是工程变化、施工期对植被、施工作业区域造成的生态影响及生态恢复情况，工程运营期造成的声环境影响及采取措施，以及环境影响报告表和工程设计中提出的各项环境保护措施落实情况及其有效性，并对存在的环境问题提出环境保护补救措施。</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val="en-US" w:eastAsia="zh-CN"/>
              </w:rPr>
              <w:t>工程概况：工程实际建设情况与环评阶段是否存在重大工程变更。</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val="en-US" w:eastAsia="zh-CN"/>
              </w:rPr>
              <w:t>生态环境：工程永久占地及临时占地对土地利用和植被的影响。场内道路边坡是否产生水土流失、沿线排水工程是否合理、临时施工用地是否符合相关要求等，对已采取的生态保护和恢复措施进行有效性评估。</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val="en-US" w:eastAsia="zh-CN"/>
              </w:rPr>
              <w:t>水环境：重点调查施工道路、施工废水是否造成明显的环境影响，采取何种措施予以防治等。</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lang w:val="en-US" w:eastAsia="zh-CN"/>
              </w:rPr>
              <w:t>固体废物：重点调查工程开挖土石方的处置，运行期生活垃圾、危险废物的收集、贮存、处理和影响。</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（5）环境保护目标基本情况及变更情况。</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（6）环保措施执行情况，调查工程落实环保措施情况，明确是否满足竣工环保验收条件。</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（7）环境影响评价文件及环影响评价审批文件中提出的环境保护措施落</w:t>
            </w:r>
          </w:p>
          <w:p>
            <w:pPr>
              <w:keepNext w:val="0"/>
              <w:keepLines w:val="0"/>
              <w:pageBreakBefore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color w:val="auto"/>
                <w:lang w:val="en-US" w:eastAsia="zh-CN"/>
              </w:rPr>
            </w:pPr>
            <w:r>
              <w:rPr>
                <w:rFonts w:hint="eastAsia" w:ascii="Times New Roman" w:hAnsi="Times New Roman" w:eastAsia="宋体" w:cs="Times New Roman"/>
                <w:color w:val="auto"/>
                <w:sz w:val="24"/>
                <w:szCs w:val="24"/>
                <w:lang w:val="en-US" w:eastAsia="zh-CN"/>
              </w:rPr>
              <w:t>实情况及其效果、环境风险防范与应急落实情况及有效性。</w:t>
            </w:r>
          </w:p>
        </w:tc>
      </w:tr>
    </w:tbl>
    <w:p>
      <w:pPr>
        <w:autoSpaceDE w:val="0"/>
        <w:autoSpaceDN w:val="0"/>
        <w:adjustRightInd w:val="0"/>
        <w:jc w:val="center"/>
        <w:rPr>
          <w:rFonts w:hint="default" w:ascii="Times New Roman" w:hAnsi="Times New Roman" w:eastAsia="宋体" w:cs="Times New Roman"/>
          <w:b/>
          <w:bCs/>
          <w:color w:val="auto"/>
          <w:sz w:val="32"/>
        </w:rPr>
      </w:pPr>
      <w:r>
        <w:rPr>
          <w:rFonts w:hint="default" w:ascii="Times New Roman" w:hAnsi="Times New Roman" w:eastAsia="宋体" w:cs="Times New Roman"/>
          <w:b/>
          <w:bCs/>
          <w:color w:val="auto"/>
          <w:sz w:val="32"/>
        </w:rPr>
        <w:t>表 3 验收执行标准</w:t>
      </w:r>
    </w:p>
    <w:tbl>
      <w:tblPr>
        <w:tblStyle w:val="22"/>
        <w:tblW w:w="964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03"/>
        <w:gridCol w:w="864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03" w:type="dxa"/>
            <w:tcBorders>
              <w:tl2br w:val="nil"/>
              <w:tr2bl w:val="nil"/>
            </w:tcBorders>
            <w:vAlign w:val="center"/>
          </w:tcPr>
          <w:p>
            <w:pPr>
              <w:jc w:val="center"/>
              <w:rPr>
                <w:b/>
                <w:color w:val="auto"/>
                <w:sz w:val="24"/>
                <w:szCs w:val="22"/>
              </w:rPr>
            </w:pPr>
            <w:r>
              <w:rPr>
                <w:b/>
                <w:color w:val="auto"/>
                <w:sz w:val="24"/>
                <w:szCs w:val="22"/>
              </w:rPr>
              <w:t>环境</w:t>
            </w:r>
          </w:p>
          <w:p>
            <w:pPr>
              <w:jc w:val="center"/>
              <w:rPr>
                <w:b/>
                <w:color w:val="auto"/>
                <w:sz w:val="24"/>
                <w:szCs w:val="22"/>
              </w:rPr>
            </w:pPr>
            <w:r>
              <w:rPr>
                <w:b/>
                <w:color w:val="auto"/>
                <w:sz w:val="24"/>
                <w:szCs w:val="22"/>
              </w:rPr>
              <w:t>质量</w:t>
            </w:r>
          </w:p>
          <w:p>
            <w:pPr>
              <w:jc w:val="center"/>
              <w:rPr>
                <w:b/>
                <w:color w:val="auto"/>
              </w:rPr>
            </w:pPr>
            <w:r>
              <w:rPr>
                <w:b/>
                <w:color w:val="auto"/>
                <w:sz w:val="24"/>
                <w:szCs w:val="22"/>
              </w:rPr>
              <w:t>标准</w:t>
            </w:r>
          </w:p>
        </w:tc>
        <w:tc>
          <w:tcPr>
            <w:tcW w:w="8640" w:type="dxa"/>
            <w:tcBorders>
              <w:tl2br w:val="nil"/>
              <w:tr2bl w:val="nil"/>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lang w:val="en-US" w:eastAsia="zh-CN"/>
              </w:rPr>
              <w:t>环境空气</w:t>
            </w:r>
            <w:r>
              <w:rPr>
                <w:rFonts w:hint="eastAsia" w:ascii="Times New Roman" w:hAnsi="Times New Roman" w:eastAsia="宋体" w:cs="Times New Roman"/>
                <w:color w:val="auto"/>
                <w:sz w:val="24"/>
                <w:szCs w:val="24"/>
                <w:lang w:val="en-US" w:eastAsia="zh-CN"/>
              </w:rPr>
              <w:t>：</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执行《环境空气质量标准》（GB 3095-2012）二级标准；</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（2）地表水：</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eastAsia" w:cs="Times New Roman"/>
                <w:color w:val="auto"/>
                <w:sz w:val="24"/>
                <w:szCs w:val="24"/>
                <w:lang w:val="en-US" w:eastAsia="zh-CN"/>
              </w:rPr>
              <w:t>地表水赵庄水库及红石河</w:t>
            </w:r>
            <w:r>
              <w:rPr>
                <w:rFonts w:hint="default" w:ascii="Times New Roman" w:hAnsi="Times New Roman" w:eastAsia="宋体" w:cs="Times New Roman"/>
                <w:color w:val="auto"/>
                <w:sz w:val="24"/>
                <w:szCs w:val="24"/>
                <w:lang w:val="en-US" w:eastAsia="zh-CN"/>
              </w:rPr>
              <w:t>执行《地表水环境质量标准》（GB</w:t>
            </w:r>
            <w:r>
              <w:rPr>
                <w:rFonts w:hint="eastAsia" w:cs="Times New Roman"/>
                <w:color w:val="auto"/>
                <w:sz w:val="24"/>
                <w:szCs w:val="24"/>
                <w:lang w:val="en-US" w:eastAsia="zh-CN"/>
              </w:rPr>
              <w:t xml:space="preserve"> </w:t>
            </w:r>
            <w:r>
              <w:rPr>
                <w:rFonts w:hint="default" w:ascii="Times New Roman" w:hAnsi="Times New Roman" w:eastAsia="宋体" w:cs="Times New Roman"/>
                <w:color w:val="auto"/>
                <w:sz w:val="24"/>
                <w:szCs w:val="24"/>
                <w:lang w:val="en-US" w:eastAsia="zh-CN"/>
              </w:rPr>
              <w:t>3838-2002）中的</w:t>
            </w:r>
            <w:r>
              <w:rPr>
                <w:rFonts w:ascii="Times New Roman" w:eastAsia="Times New Roman"/>
                <w:color w:val="auto"/>
                <w:sz w:val="24"/>
              </w:rPr>
              <w:t>IV</w:t>
            </w:r>
            <w:r>
              <w:rPr>
                <w:rFonts w:hint="default" w:ascii="Times New Roman" w:hAnsi="Times New Roman" w:eastAsia="宋体" w:cs="Times New Roman"/>
                <w:color w:val="auto"/>
                <w:sz w:val="24"/>
                <w:szCs w:val="24"/>
                <w:lang w:val="en-US" w:eastAsia="zh-CN"/>
              </w:rPr>
              <w:t>类标准；</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w:t>
            </w:r>
            <w:r>
              <w:rPr>
                <w:rFonts w:hint="default" w:ascii="Times New Roman" w:hAnsi="Times New Roman" w:eastAsia="宋体" w:cs="Times New Roman"/>
                <w:color w:val="auto"/>
                <w:sz w:val="24"/>
                <w:szCs w:val="24"/>
                <w:lang w:val="en-US" w:eastAsia="zh-CN"/>
              </w:rPr>
              <w:t>地下水</w:t>
            </w:r>
            <w:r>
              <w:rPr>
                <w:rFonts w:hint="eastAsia" w:ascii="Times New Roman" w:hAnsi="Times New Roman" w:eastAsia="宋体" w:cs="Times New Roman"/>
                <w:color w:val="auto"/>
                <w:sz w:val="24"/>
                <w:szCs w:val="24"/>
                <w:lang w:val="en-US" w:eastAsia="zh-CN"/>
              </w:rPr>
              <w:t>：</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执行《地下水质量标准》（GB/T 14848-2017）中的Ⅲ类标准。</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（4）</w:t>
            </w:r>
            <w:r>
              <w:rPr>
                <w:rFonts w:hint="default" w:ascii="Times New Roman" w:hAnsi="Times New Roman" w:eastAsia="宋体" w:cs="Times New Roman"/>
                <w:color w:val="auto"/>
                <w:sz w:val="24"/>
                <w:szCs w:val="24"/>
                <w:lang w:val="en-US" w:eastAsia="zh-CN"/>
              </w:rPr>
              <w:t>声环境</w:t>
            </w:r>
            <w:r>
              <w:rPr>
                <w:rFonts w:hint="eastAsia" w:ascii="Times New Roman" w:hAnsi="Times New Roman" w:eastAsia="宋体" w:cs="Times New Roman"/>
                <w:color w:val="auto"/>
                <w:sz w:val="24"/>
                <w:szCs w:val="24"/>
                <w:lang w:val="en-US" w:eastAsia="zh-CN"/>
              </w:rPr>
              <w:t>：</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48" w:lineRule="auto"/>
              <w:ind w:firstLine="480" w:firstLineChars="200"/>
              <w:jc w:val="both"/>
              <w:textAlignment w:val="auto"/>
              <w:rPr>
                <w:color w:val="auto"/>
              </w:rPr>
            </w:pPr>
            <w:r>
              <w:rPr>
                <w:rFonts w:hint="default" w:ascii="Times New Roman" w:hAnsi="Times New Roman" w:eastAsia="宋体" w:cs="Times New Roman"/>
                <w:color w:val="auto"/>
                <w:sz w:val="24"/>
                <w:szCs w:val="24"/>
                <w:lang w:val="en-US" w:eastAsia="zh-CN"/>
              </w:rPr>
              <w:t>执行《声环境质量标准》（GB</w:t>
            </w:r>
            <w:r>
              <w:rPr>
                <w:rFonts w:hint="eastAsia" w:cs="Times New Roman"/>
                <w:color w:val="auto"/>
                <w:sz w:val="24"/>
                <w:szCs w:val="24"/>
                <w:lang w:val="en-US" w:eastAsia="zh-CN"/>
              </w:rPr>
              <w:t xml:space="preserve"> </w:t>
            </w:r>
            <w:r>
              <w:rPr>
                <w:rFonts w:hint="default" w:ascii="Times New Roman" w:hAnsi="Times New Roman" w:eastAsia="宋体" w:cs="Times New Roman"/>
                <w:color w:val="auto"/>
                <w:sz w:val="24"/>
                <w:szCs w:val="24"/>
                <w:lang w:val="en-US" w:eastAsia="zh-CN"/>
              </w:rPr>
              <w:t>3096-2008）中</w:t>
            </w:r>
            <w:r>
              <w:rPr>
                <w:rFonts w:hint="eastAsia" w:ascii="Times New Roman" w:hAnsi="Times New Roman" w:eastAsia="宋体" w:cs="Times New Roman"/>
                <w:color w:val="auto"/>
                <w:sz w:val="24"/>
                <w:szCs w:val="24"/>
                <w:lang w:val="en-US" w:eastAsia="zh-CN"/>
              </w:rPr>
              <w:t>2</w:t>
            </w:r>
            <w:r>
              <w:rPr>
                <w:rFonts w:hint="default" w:ascii="Times New Roman" w:hAnsi="Times New Roman" w:eastAsia="宋体" w:cs="Times New Roman"/>
                <w:color w:val="auto"/>
                <w:sz w:val="24"/>
                <w:szCs w:val="24"/>
                <w:lang w:val="en-US" w:eastAsia="zh-CN"/>
              </w:rPr>
              <w:t>类标准。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003" w:type="dxa"/>
            <w:tcBorders>
              <w:tl2br w:val="nil"/>
              <w:tr2bl w:val="nil"/>
            </w:tcBorders>
            <w:vAlign w:val="center"/>
          </w:tcPr>
          <w:p>
            <w:pPr>
              <w:pStyle w:val="65"/>
              <w:keepNext w:val="0"/>
              <w:keepLines w:val="0"/>
              <w:pageBreakBefore w:val="0"/>
              <w:widowControl w:val="0"/>
              <w:kinsoku/>
              <w:wordWrap/>
              <w:overflowPunct/>
              <w:topLinePunct w:val="0"/>
              <w:bidi w:val="0"/>
              <w:adjustRightInd w:val="0"/>
              <w:snapToGrid/>
              <w:spacing w:line="353" w:lineRule="auto"/>
              <w:rPr>
                <w:b/>
                <w:color w:val="auto"/>
                <w:kern w:val="2"/>
                <w:sz w:val="24"/>
                <w:szCs w:val="28"/>
              </w:rPr>
            </w:pPr>
            <w:r>
              <w:rPr>
                <w:b/>
                <w:color w:val="auto"/>
                <w:kern w:val="2"/>
                <w:sz w:val="24"/>
                <w:szCs w:val="28"/>
              </w:rPr>
              <w:t>污染物排放</w:t>
            </w:r>
          </w:p>
          <w:p>
            <w:pPr>
              <w:pStyle w:val="65"/>
              <w:keepNext w:val="0"/>
              <w:keepLines w:val="0"/>
              <w:pageBreakBefore w:val="0"/>
              <w:widowControl w:val="0"/>
              <w:kinsoku/>
              <w:wordWrap/>
              <w:overflowPunct/>
              <w:topLinePunct w:val="0"/>
              <w:bidi w:val="0"/>
              <w:adjustRightInd w:val="0"/>
              <w:snapToGrid/>
              <w:spacing w:line="353" w:lineRule="auto"/>
              <w:rPr>
                <w:color w:val="auto"/>
              </w:rPr>
            </w:pPr>
            <w:r>
              <w:rPr>
                <w:b/>
                <w:color w:val="auto"/>
                <w:kern w:val="2"/>
                <w:sz w:val="24"/>
                <w:szCs w:val="28"/>
              </w:rPr>
              <w:t>标准</w:t>
            </w:r>
          </w:p>
        </w:tc>
        <w:tc>
          <w:tcPr>
            <w:tcW w:w="8640" w:type="dxa"/>
            <w:tcBorders>
              <w:tl2br w:val="nil"/>
              <w:tr2bl w:val="nil"/>
            </w:tcBorders>
            <w:vAlign w:val="center"/>
          </w:tcPr>
          <w:p>
            <w:pPr>
              <w:keepNext w:val="0"/>
              <w:keepLines w:val="0"/>
              <w:pageBreakBefore w:val="0"/>
              <w:widowControl w:val="0"/>
              <w:numPr>
                <w:ilvl w:val="0"/>
                <w:numId w:val="0"/>
              </w:numPr>
              <w:kinsoku/>
              <w:wordWrap/>
              <w:overflowPunct/>
              <w:topLinePunct w:val="0"/>
              <w:autoSpaceDE w:val="0"/>
              <w:autoSpaceDN w:val="0"/>
              <w:bidi w:val="0"/>
              <w:adjustRightInd w:val="0"/>
              <w:snapToGrid/>
              <w:spacing w:line="353" w:lineRule="auto"/>
              <w:ind w:firstLine="480" w:firstLineChars="200"/>
              <w:jc w:val="both"/>
              <w:textAlignment w:val="auto"/>
              <w:rPr>
                <w:rFonts w:hint="default"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（1）废气：</w:t>
            </w:r>
          </w:p>
          <w:p>
            <w:pPr>
              <w:keepNext w:val="0"/>
              <w:keepLines w:val="0"/>
              <w:pageBreakBefore w:val="0"/>
              <w:widowControl w:val="0"/>
              <w:kinsoku/>
              <w:wordWrap/>
              <w:overflowPunct/>
              <w:topLinePunct w:val="0"/>
              <w:autoSpaceDE w:val="0"/>
              <w:autoSpaceDN w:val="0"/>
              <w:bidi w:val="0"/>
              <w:adjustRightInd w:val="0"/>
              <w:snapToGrid/>
              <w:spacing w:line="353"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采取在施工工地、临时堆场周围设置连续封闭围挡</w:t>
            </w:r>
            <w:r>
              <w:rPr>
                <w:rFonts w:hint="eastAsia"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对施工场地、临时堆场设置符合要求的密目防尘网或防尘布，物料、渣土运输车辆密闭蓬盖，施工工地车行道路应当采取硬化措施，施工场地出口内侧设置洗车平台，定期酒水清扫抑尘和车辆冲洗，做好扬尘污染防治工作。施工管道焊接废气要采用移动焊烟收集处理设施处理后排放。</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53" w:lineRule="auto"/>
              <w:ind w:leftChars="0" w:firstLine="480" w:firstLineChars="200"/>
              <w:jc w:val="both"/>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（2）废水：</w:t>
            </w:r>
          </w:p>
          <w:p>
            <w:pPr>
              <w:keepNext w:val="0"/>
              <w:keepLines w:val="0"/>
              <w:pageBreakBefore w:val="0"/>
              <w:widowControl w:val="0"/>
              <w:kinsoku/>
              <w:wordWrap/>
              <w:overflowPunct/>
              <w:topLinePunct w:val="0"/>
              <w:autoSpaceDE w:val="0"/>
              <w:autoSpaceDN w:val="0"/>
              <w:bidi w:val="0"/>
              <w:adjustRightInd w:val="0"/>
              <w:snapToGrid/>
              <w:spacing w:line="353"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eastAsia" w:cs="Times New Roman"/>
                <w:color w:val="auto"/>
                <w:sz w:val="24"/>
                <w:szCs w:val="24"/>
                <w:lang w:val="en-US" w:eastAsia="zh-CN"/>
              </w:rPr>
              <w:t>本项目</w:t>
            </w:r>
            <w:r>
              <w:rPr>
                <w:rFonts w:hint="eastAsia" w:ascii="Times New Roman" w:hAnsi="Times New Roman" w:eastAsia="宋体" w:cs="Times New Roman"/>
                <w:color w:val="auto"/>
                <w:sz w:val="24"/>
                <w:szCs w:val="24"/>
                <w:lang w:val="en-US" w:eastAsia="zh-CN"/>
              </w:rPr>
              <w:t>施工期施工场地设置</w:t>
            </w:r>
            <w:r>
              <w:rPr>
                <w:rFonts w:hint="eastAsia" w:cs="Times New Roman"/>
                <w:color w:val="auto"/>
                <w:sz w:val="24"/>
                <w:szCs w:val="24"/>
                <w:lang w:val="en-US" w:eastAsia="zh-CN"/>
              </w:rPr>
              <w:t>移动式生态厕所</w:t>
            </w:r>
            <w:r>
              <w:rPr>
                <w:rFonts w:hint="eastAsia" w:ascii="Times New Roman" w:hAnsi="Times New Roman" w:eastAsia="宋体" w:cs="Times New Roman"/>
                <w:color w:val="auto"/>
                <w:sz w:val="24"/>
                <w:szCs w:val="24"/>
                <w:lang w:val="en-US" w:eastAsia="zh-CN"/>
              </w:rPr>
              <w:t>，委托环卫部门定期清运；车辆、施工设备等冲洗水经沉淀后回用，不外排。营运期无废水排放。</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53" w:lineRule="auto"/>
              <w:ind w:leftChars="0" w:firstLine="480" w:firstLineChars="200"/>
              <w:jc w:val="both"/>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（3）噪声：</w:t>
            </w:r>
          </w:p>
          <w:p>
            <w:pPr>
              <w:keepNext w:val="0"/>
              <w:keepLines w:val="0"/>
              <w:pageBreakBefore w:val="0"/>
              <w:widowControl w:val="0"/>
              <w:kinsoku/>
              <w:wordWrap/>
              <w:overflowPunct/>
              <w:topLinePunct w:val="0"/>
              <w:autoSpaceDE w:val="0"/>
              <w:autoSpaceDN w:val="0"/>
              <w:bidi w:val="0"/>
              <w:adjustRightInd w:val="0"/>
              <w:snapToGrid/>
              <w:spacing w:line="353" w:lineRule="auto"/>
              <w:ind w:firstLine="480" w:firstLineChars="200"/>
              <w:jc w:val="both"/>
              <w:textAlignment w:val="auto"/>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选用低噪声施工机械和工艺，合理布置施工场地，严格控制施工噪声。合理安排施工作业时间，临近敏感目标一侧设置临时声屏障等减轻施工噪声影响，施工期噪声要达到《建筑施工厂界环境噪声排放标准》</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GB12523-2011</w:t>
            </w:r>
            <w:r>
              <w:rPr>
                <w:rFonts w:hint="eastAsia"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规定的标准。</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53" w:lineRule="auto"/>
              <w:ind w:leftChars="0" w:firstLine="480" w:firstLineChars="200"/>
              <w:jc w:val="both"/>
              <w:textAlignment w:val="auto"/>
              <w:rPr>
                <w:rFonts w:hint="default"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（4）</w:t>
            </w:r>
            <w:r>
              <w:rPr>
                <w:rFonts w:hint="default" w:ascii="Times New Roman" w:hAnsi="Times New Roman" w:eastAsia="宋体" w:cs="Times New Roman"/>
                <w:b w:val="0"/>
                <w:bCs w:val="0"/>
                <w:color w:val="auto"/>
                <w:sz w:val="24"/>
                <w:szCs w:val="24"/>
                <w:lang w:val="en-US" w:eastAsia="zh-CN"/>
              </w:rPr>
              <w:t>固体废物：</w:t>
            </w:r>
          </w:p>
          <w:p>
            <w:pPr>
              <w:keepNext w:val="0"/>
              <w:keepLines w:val="0"/>
              <w:pageBreakBefore w:val="0"/>
              <w:widowControl w:val="0"/>
              <w:kinsoku/>
              <w:wordWrap/>
              <w:overflowPunct/>
              <w:topLinePunct w:val="0"/>
              <w:autoSpaceDE w:val="0"/>
              <w:autoSpaceDN w:val="0"/>
              <w:bidi w:val="0"/>
              <w:adjustRightInd w:val="0"/>
              <w:snapToGrid/>
              <w:spacing w:line="353" w:lineRule="auto"/>
              <w:ind w:firstLine="480" w:firstLineChars="200"/>
              <w:jc w:val="both"/>
              <w:textAlignment w:val="auto"/>
              <w:rPr>
                <w:color w:val="auto"/>
              </w:rPr>
            </w:pPr>
            <w:r>
              <w:rPr>
                <w:rFonts w:hint="eastAsia" w:cs="Times New Roman"/>
                <w:color w:val="auto"/>
                <w:sz w:val="24"/>
                <w:szCs w:val="24"/>
                <w:lang w:val="en-US" w:eastAsia="zh-CN"/>
              </w:rPr>
              <w:t>管道开挖过程中的土方全部回填；施工废料</w:t>
            </w:r>
            <w:r>
              <w:rPr>
                <w:rFonts w:hint="default" w:ascii="Times New Roman" w:hAnsi="Times New Roman" w:eastAsia="宋体" w:cs="Times New Roman"/>
                <w:color w:val="auto"/>
                <w:sz w:val="24"/>
                <w:szCs w:val="24"/>
                <w:lang w:val="en-US" w:eastAsia="zh-CN"/>
              </w:rPr>
              <w:t>等回收综合利用，生活垃圾委托环卫部门清运处理。施工废水经沉淀后全部回用，不得在河道范围内设置材料堆放场地、施工场地等临时工程，临时占地及堆场要及时复垦、恢复。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43" w:hRule="atLeast"/>
          <w:jc w:val="center"/>
        </w:trPr>
        <w:tc>
          <w:tcPr>
            <w:tcW w:w="1003" w:type="dxa"/>
            <w:tcBorders>
              <w:tl2br w:val="nil"/>
              <w:tr2bl w:val="nil"/>
            </w:tcBorders>
            <w:vAlign w:val="center"/>
          </w:tcPr>
          <w:p>
            <w:pPr>
              <w:spacing w:line="271" w:lineRule="exact"/>
              <w:jc w:val="center"/>
              <w:rPr>
                <w:b/>
                <w:color w:val="auto"/>
                <w:sz w:val="24"/>
                <w:szCs w:val="28"/>
              </w:rPr>
            </w:pPr>
            <w:r>
              <w:rPr>
                <w:b/>
                <w:color w:val="auto"/>
                <w:sz w:val="24"/>
                <w:szCs w:val="28"/>
              </w:rPr>
              <w:t>总量</w:t>
            </w:r>
          </w:p>
          <w:p>
            <w:pPr>
              <w:spacing w:line="271" w:lineRule="exact"/>
              <w:jc w:val="center"/>
              <w:rPr>
                <w:b/>
                <w:color w:val="auto"/>
                <w:sz w:val="24"/>
                <w:szCs w:val="28"/>
              </w:rPr>
            </w:pPr>
            <w:r>
              <w:rPr>
                <w:b/>
                <w:color w:val="auto"/>
                <w:sz w:val="24"/>
                <w:szCs w:val="28"/>
              </w:rPr>
              <w:t>控制</w:t>
            </w:r>
          </w:p>
          <w:p>
            <w:pPr>
              <w:spacing w:line="271" w:lineRule="exact"/>
              <w:jc w:val="center"/>
              <w:rPr>
                <w:color w:val="auto"/>
                <w:sz w:val="24"/>
                <w:szCs w:val="28"/>
              </w:rPr>
            </w:pPr>
            <w:r>
              <w:rPr>
                <w:b/>
                <w:color w:val="auto"/>
                <w:sz w:val="24"/>
                <w:szCs w:val="28"/>
              </w:rPr>
              <w:t>指标</w:t>
            </w:r>
          </w:p>
        </w:tc>
        <w:tc>
          <w:tcPr>
            <w:tcW w:w="8640" w:type="dxa"/>
            <w:tcBorders>
              <w:tl2br w:val="nil"/>
              <w:tr2bl w:val="nil"/>
            </w:tcBorders>
            <w:vAlign w:val="center"/>
          </w:tcPr>
          <w:p>
            <w:pPr>
              <w:keepNext w:val="0"/>
              <w:keepLines w:val="0"/>
              <w:pageBreakBefore w:val="0"/>
              <w:widowControl w:val="0"/>
              <w:kinsoku/>
              <w:wordWrap/>
              <w:overflowPunct/>
              <w:topLinePunct w:val="0"/>
              <w:autoSpaceDE w:val="0"/>
              <w:autoSpaceDN w:val="0"/>
              <w:bidi w:val="0"/>
              <w:adjustRightInd w:val="0"/>
              <w:snapToGrid/>
              <w:spacing w:line="353" w:lineRule="auto"/>
              <w:ind w:firstLine="480" w:firstLineChars="200"/>
              <w:jc w:val="both"/>
              <w:textAlignment w:val="auto"/>
              <w:rPr>
                <w:color w:val="auto"/>
                <w:szCs w:val="21"/>
              </w:rPr>
            </w:pPr>
            <w:r>
              <w:rPr>
                <w:rFonts w:hint="eastAsia" w:ascii="Times New Roman" w:hAnsi="Times New Roman" w:eastAsia="宋体" w:cs="Times New Roman"/>
                <w:color w:val="auto"/>
                <w:sz w:val="24"/>
                <w:szCs w:val="24"/>
                <w:lang w:val="en-US" w:eastAsia="zh-CN"/>
              </w:rPr>
              <w:t>本项目主要建设内容为热水管线铺设为市政供公用工程，建成后项目运营期不产生</w:t>
            </w:r>
            <w:r>
              <w:rPr>
                <w:rFonts w:hint="default" w:ascii="Times New Roman" w:hAnsi="Times New Roman" w:eastAsia="宋体" w:cs="Times New Roman"/>
                <w:color w:val="auto"/>
                <w:sz w:val="24"/>
                <w:szCs w:val="24"/>
                <w:lang w:val="en-US" w:eastAsia="zh-CN"/>
              </w:rPr>
              <w:t>SO</w:t>
            </w:r>
            <w:r>
              <w:rPr>
                <w:rFonts w:hint="default" w:ascii="Times New Roman" w:hAnsi="Times New Roman" w:eastAsia="宋体" w:cs="Times New Roman"/>
                <w:color w:val="auto"/>
                <w:sz w:val="24"/>
                <w:szCs w:val="24"/>
                <w:vertAlign w:val="subscript"/>
                <w:lang w:val="en-US" w:eastAsia="zh-CN"/>
              </w:rPr>
              <w:t>2</w:t>
            </w:r>
            <w:r>
              <w:rPr>
                <w:rFonts w:hint="eastAsia" w:ascii="Times New Roman" w:hAnsi="Times New Roman" w:eastAsia="宋体" w:cs="Times New Roman"/>
                <w:color w:val="auto"/>
                <w:sz w:val="24"/>
                <w:szCs w:val="24"/>
                <w:lang w:val="en-US" w:eastAsia="zh-CN"/>
              </w:rPr>
              <w:t>、</w:t>
            </w:r>
            <w:r>
              <w:rPr>
                <w:rFonts w:hint="default" w:ascii="Times New Roman" w:hAnsi="Times New Roman" w:eastAsia="宋体" w:cs="Times New Roman"/>
                <w:color w:val="auto"/>
                <w:sz w:val="24"/>
                <w:szCs w:val="24"/>
                <w:lang w:val="en-US" w:eastAsia="zh-CN"/>
              </w:rPr>
              <w:t>NOx</w:t>
            </w:r>
            <w:r>
              <w:rPr>
                <w:rFonts w:hint="eastAsia" w:ascii="Times New Roman" w:hAnsi="Times New Roman" w:eastAsia="宋体" w:cs="Times New Roman"/>
                <w:color w:val="auto"/>
                <w:sz w:val="24"/>
                <w:szCs w:val="24"/>
                <w:lang w:val="en-US" w:eastAsia="zh-CN"/>
              </w:rPr>
              <w:t>和工业粉尘；无废水排放</w:t>
            </w:r>
            <w:r>
              <w:rPr>
                <w:rFonts w:hint="eastAsia" w:cs="Times New Roman"/>
                <w:color w:val="auto"/>
                <w:sz w:val="24"/>
                <w:szCs w:val="24"/>
                <w:lang w:val="en-US" w:eastAsia="zh-CN"/>
              </w:rPr>
              <w:t>，因此无需申请总量控制指标。</w:t>
            </w:r>
          </w:p>
        </w:tc>
      </w:tr>
    </w:tbl>
    <w:p>
      <w:pPr>
        <w:autoSpaceDE w:val="0"/>
        <w:autoSpaceDN w:val="0"/>
        <w:adjustRightInd w:val="0"/>
        <w:jc w:val="center"/>
        <w:rPr>
          <w:rFonts w:hint="default" w:ascii="Times New Roman" w:hAnsi="Times New Roman" w:eastAsia="宋体" w:cs="Times New Roman"/>
          <w:b/>
          <w:bCs/>
          <w:color w:val="auto"/>
          <w:sz w:val="32"/>
        </w:rPr>
      </w:pPr>
      <w:r>
        <w:rPr>
          <w:rFonts w:hint="default" w:ascii="Times New Roman" w:hAnsi="Times New Roman" w:eastAsia="宋体" w:cs="Times New Roman"/>
          <w:b/>
          <w:bCs/>
          <w:color w:val="auto"/>
          <w:sz w:val="32"/>
        </w:rPr>
        <w:t>表 4 工程概况</w:t>
      </w:r>
    </w:p>
    <w:tbl>
      <w:tblPr>
        <w:tblStyle w:val="22"/>
        <w:tblW w:w="9702"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314"/>
        <w:gridCol w:w="838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702" w:hRule="atLeast"/>
          <w:jc w:val="center"/>
        </w:trPr>
        <w:tc>
          <w:tcPr>
            <w:tcW w:w="1314" w:type="dxa"/>
            <w:tcBorders>
              <w:tl2br w:val="nil"/>
              <w:tr2bl w:val="nil"/>
            </w:tcBorders>
            <w:vAlign w:val="center"/>
          </w:tcPr>
          <w:p>
            <w:pPr>
              <w:spacing w:line="360" w:lineRule="auto"/>
              <w:jc w:val="center"/>
              <w:rPr>
                <w:b/>
                <w:bCs/>
                <w:color w:val="auto"/>
                <w:sz w:val="24"/>
                <w:szCs w:val="22"/>
              </w:rPr>
            </w:pPr>
            <w:r>
              <w:rPr>
                <w:rFonts w:hint="default" w:ascii="Times New Roman" w:hAnsi="Times New Roman" w:cs="Times New Roman"/>
                <w:b/>
                <w:bCs/>
                <w:color w:val="auto"/>
                <w:sz w:val="24"/>
                <w:szCs w:val="24"/>
              </w:rPr>
              <w:t>项目名称</w:t>
            </w:r>
          </w:p>
        </w:tc>
        <w:tc>
          <w:tcPr>
            <w:tcW w:w="8388" w:type="dxa"/>
            <w:tcBorders>
              <w:tl2br w:val="nil"/>
              <w:tr2bl w:val="nil"/>
            </w:tcBorders>
            <w:vAlign w:val="center"/>
          </w:tcPr>
          <w:p>
            <w:pPr>
              <w:keepNext w:val="0"/>
              <w:keepLines w:val="0"/>
              <w:pageBreakBefore w:val="0"/>
              <w:widowControl w:val="0"/>
              <w:kinsoku/>
              <w:wordWrap/>
              <w:overflowPunct/>
              <w:topLinePunct w:val="0"/>
              <w:bidi w:val="0"/>
              <w:adjustRightInd/>
              <w:snapToGrid/>
              <w:spacing w:after="0" w:afterLines="0"/>
              <w:ind w:firstLine="480" w:firstLineChars="200"/>
              <w:jc w:val="center"/>
              <w:textAlignment w:val="auto"/>
              <w:rPr>
                <w:color w:val="auto"/>
                <w:sz w:val="24"/>
                <w:szCs w:val="24"/>
              </w:rPr>
            </w:pPr>
            <w:r>
              <w:rPr>
                <w:color w:val="auto"/>
                <w:sz w:val="24"/>
                <w:szCs w:val="24"/>
              </w:rPr>
              <w:t>济南热力有限公司</w:t>
            </w:r>
            <w:r>
              <w:rPr>
                <w:rFonts w:hint="eastAsia" w:ascii="Times New Roman" w:hAnsi="Times New Roman" w:eastAsia="宋体" w:cs="Times New Roman"/>
                <w:color w:val="auto"/>
                <w:sz w:val="24"/>
                <w:szCs w:val="24"/>
                <w:lang w:val="en-US" w:eastAsia="zh-CN"/>
              </w:rPr>
              <w:t>石热入济长距离输送供热工程（泰安段）</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554" w:hRule="atLeast"/>
          <w:jc w:val="center"/>
        </w:trPr>
        <w:tc>
          <w:tcPr>
            <w:tcW w:w="1314" w:type="dxa"/>
            <w:tcBorders>
              <w:tl2br w:val="nil"/>
              <w:tr2bl w:val="nil"/>
            </w:tcBorders>
            <w:vAlign w:val="center"/>
          </w:tcPr>
          <w:p>
            <w:pPr>
              <w:spacing w:line="360" w:lineRule="auto"/>
              <w:jc w:val="center"/>
              <w:rPr>
                <w:rFonts w:hint="eastAsia"/>
                <w:b/>
                <w:bCs/>
                <w:color w:val="auto"/>
                <w:sz w:val="24"/>
                <w:szCs w:val="22"/>
                <w:lang w:eastAsia="zh-CN"/>
              </w:rPr>
            </w:pPr>
            <w:r>
              <w:rPr>
                <w:rFonts w:hint="eastAsia"/>
                <w:b/>
                <w:bCs/>
                <w:color w:val="auto"/>
                <w:sz w:val="24"/>
                <w:szCs w:val="22"/>
                <w:lang w:eastAsia="zh-CN"/>
              </w:rPr>
              <w:t>地理位置</w:t>
            </w:r>
          </w:p>
        </w:tc>
        <w:tc>
          <w:tcPr>
            <w:tcW w:w="8388" w:type="dxa"/>
            <w:tcBorders>
              <w:tl2br w:val="nil"/>
              <w:tr2bl w:val="nil"/>
            </w:tcBorders>
            <w:vAlign w:val="center"/>
          </w:tcPr>
          <w:p>
            <w:pPr>
              <w:keepNext w:val="0"/>
              <w:keepLines w:val="0"/>
              <w:pageBreakBefore w:val="0"/>
              <w:widowControl w:val="0"/>
              <w:kinsoku/>
              <w:wordWrap/>
              <w:overflowPunct/>
              <w:topLinePunct w:val="0"/>
              <w:bidi w:val="0"/>
              <w:adjustRightInd/>
              <w:snapToGrid/>
              <w:spacing w:after="0" w:afterLines="0" w:line="360" w:lineRule="auto"/>
              <w:ind w:firstLine="480" w:firstLineChars="200"/>
              <w:jc w:val="both"/>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lang w:val="en-US" w:eastAsia="zh-CN"/>
              </w:rPr>
              <w:t>本项目位于山东省</w:t>
            </w:r>
            <w:r>
              <w:rPr>
                <w:rFonts w:hint="eastAsia" w:cs="Times New Roman"/>
                <w:color w:val="auto"/>
                <w:sz w:val="24"/>
                <w:szCs w:val="24"/>
                <w:lang w:val="en-US" w:eastAsia="zh-CN"/>
              </w:rPr>
              <w:t>肥城市石横镇，</w:t>
            </w:r>
            <w:r>
              <w:rPr>
                <w:rFonts w:hint="eastAsia" w:ascii="Times New Roman" w:hAnsi="Times New Roman" w:eastAsia="宋体" w:cs="Times New Roman"/>
                <w:color w:val="auto"/>
                <w:sz w:val="24"/>
                <w:szCs w:val="24"/>
                <w:lang w:val="en-US" w:eastAsia="zh-CN"/>
              </w:rPr>
              <w:t>平面</w:t>
            </w:r>
            <w:r>
              <w:rPr>
                <w:rFonts w:hint="eastAsia" w:cs="Times New Roman"/>
                <w:color w:val="auto"/>
                <w:sz w:val="24"/>
                <w:szCs w:val="24"/>
                <w:lang w:val="en-US" w:eastAsia="zh-CN"/>
              </w:rPr>
              <w:t>路由</w:t>
            </w:r>
            <w:r>
              <w:rPr>
                <w:rFonts w:hint="eastAsia" w:ascii="Times New Roman" w:hAnsi="Times New Roman" w:eastAsia="宋体" w:cs="Times New Roman"/>
                <w:color w:val="auto"/>
                <w:sz w:val="24"/>
                <w:szCs w:val="24"/>
                <w:lang w:val="en-US" w:eastAsia="zh-CN"/>
              </w:rPr>
              <w:t>布置见图4-1、</w:t>
            </w:r>
            <w:r>
              <w:rPr>
                <w:rFonts w:hint="eastAsia" w:cs="Times New Roman"/>
                <w:color w:val="auto"/>
                <w:sz w:val="24"/>
                <w:szCs w:val="24"/>
                <w:lang w:val="en-US" w:eastAsia="zh-CN"/>
              </w:rPr>
              <w:t>项目地理</w:t>
            </w:r>
            <w:r>
              <w:rPr>
                <w:rFonts w:hint="default" w:ascii="Times New Roman" w:hAnsi="Times New Roman" w:eastAsia="宋体" w:cs="Times New Roman"/>
                <w:color w:val="auto"/>
                <w:sz w:val="24"/>
                <w:szCs w:val="24"/>
                <w:highlight w:val="none"/>
              </w:rPr>
              <w:t>位置见</w:t>
            </w:r>
            <w:r>
              <w:rPr>
                <w:rFonts w:hint="eastAsia" w:ascii="Times New Roman" w:hAnsi="Times New Roman" w:eastAsia="宋体" w:cs="Times New Roman"/>
                <w:color w:val="auto"/>
                <w:sz w:val="24"/>
                <w:szCs w:val="24"/>
                <w:highlight w:val="none"/>
                <w:lang w:val="en-US" w:eastAsia="zh-CN"/>
              </w:rPr>
              <w:t>图4-2</w:t>
            </w:r>
            <w:r>
              <w:rPr>
                <w:rFonts w:hint="default"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eastAsia="zh-CN"/>
              </w:rPr>
              <w:t>本项目</w:t>
            </w:r>
            <w:r>
              <w:rPr>
                <w:rFonts w:hint="eastAsia" w:ascii="Times New Roman" w:hAnsi="Times New Roman" w:eastAsia="宋体" w:cs="Times New Roman"/>
                <w:color w:val="auto"/>
                <w:sz w:val="24"/>
                <w:szCs w:val="24"/>
                <w:highlight w:val="none"/>
                <w:lang w:val="en-US" w:eastAsia="zh-CN"/>
              </w:rPr>
              <w:t>地理坐标为：</w:t>
            </w:r>
          </w:p>
          <w:p>
            <w:pPr>
              <w:keepNext w:val="0"/>
              <w:keepLines w:val="0"/>
              <w:pageBreakBefore w:val="0"/>
              <w:widowControl w:val="0"/>
              <w:kinsoku/>
              <w:wordWrap/>
              <w:overflowPunct/>
              <w:topLinePunct w:val="0"/>
              <w:bidi w:val="0"/>
              <w:adjustRightInd/>
              <w:snapToGrid/>
              <w:spacing w:after="0" w:afterLines="0" w:line="360" w:lineRule="auto"/>
              <w:ind w:firstLine="480"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起点：116度30分36.000秒，36度12分32.400秒</w:t>
            </w:r>
          </w:p>
          <w:p>
            <w:pPr>
              <w:keepNext w:val="0"/>
              <w:keepLines w:val="0"/>
              <w:pageBreakBefore w:val="0"/>
              <w:widowControl w:val="0"/>
              <w:kinsoku/>
              <w:wordWrap/>
              <w:overflowPunct/>
              <w:topLinePunct w:val="0"/>
              <w:bidi w:val="0"/>
              <w:adjustRightInd/>
              <w:snapToGrid/>
              <w:spacing w:after="0" w:afterLines="0" w:line="360" w:lineRule="auto"/>
              <w:ind w:firstLine="480" w:firstLineChars="200"/>
              <w:jc w:val="both"/>
              <w:textAlignment w:val="auto"/>
              <w:rPr>
                <w:rFonts w:hint="eastAsia"/>
                <w:bCs/>
                <w:color w:val="auto"/>
                <w:sz w:val="24"/>
                <w:szCs w:val="22"/>
                <w:highlight w:val="none"/>
                <w:lang w:eastAsia="zh-CN"/>
              </w:rPr>
            </w:pPr>
            <w:r>
              <w:rPr>
                <w:rFonts w:hint="eastAsia" w:ascii="Times New Roman" w:hAnsi="Times New Roman" w:eastAsia="宋体" w:cs="Times New Roman"/>
                <w:color w:val="auto"/>
                <w:sz w:val="24"/>
                <w:szCs w:val="24"/>
                <w:lang w:val="en-US" w:eastAsia="zh-CN"/>
              </w:rPr>
              <w:t>终点：116度29分56.400秒，36度14分24.400秒</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9702" w:type="dxa"/>
            <w:gridSpan w:val="2"/>
            <w:tcBorders>
              <w:tl2br w:val="nil"/>
              <w:tr2bl w:val="nil"/>
            </w:tcBorders>
          </w:tcPr>
          <w:p>
            <w:pPr>
              <w:keepNext w:val="0"/>
              <w:keepLines w:val="0"/>
              <w:pageBreakBefore w:val="0"/>
              <w:widowControl w:val="0"/>
              <w:kinsoku/>
              <w:wordWrap/>
              <w:overflowPunct/>
              <w:topLinePunct w:val="0"/>
              <w:bidi w:val="0"/>
              <w:adjustRightInd/>
              <w:snapToGrid/>
              <w:spacing w:after="0" w:afterLines="0" w:line="360" w:lineRule="auto"/>
              <w:ind w:firstLine="482" w:firstLineChars="200"/>
              <w:jc w:val="both"/>
              <w:textAlignment w:val="auto"/>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b/>
                <w:bCs/>
                <w:color w:val="auto"/>
                <w:sz w:val="24"/>
                <w:szCs w:val="24"/>
                <w:lang w:val="en-US" w:eastAsia="zh-CN"/>
              </w:rPr>
              <w:t>1、主要工程内容及规模：</w:t>
            </w:r>
          </w:p>
          <w:p>
            <w:pPr>
              <w:keepNext w:val="0"/>
              <w:keepLines w:val="0"/>
              <w:pageBreakBefore w:val="0"/>
              <w:widowControl w:val="0"/>
              <w:kinsoku/>
              <w:wordWrap/>
              <w:overflowPunct/>
              <w:topLinePunct w:val="0"/>
              <w:bidi w:val="0"/>
              <w:adjustRightInd/>
              <w:snapToGrid/>
              <w:spacing w:after="0" w:afterLines="0" w:line="360" w:lineRule="auto"/>
              <w:ind w:firstLine="480" w:firstLineChars="200"/>
              <w:jc w:val="both"/>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位于肥城市石横镇，起点位于石横电厂厂区西南侧建设首站，主要工程内容是沿厂区内西侧围墙向北敷设，敷设至厂区西北角后出厂区。自石横电厂出线后沿电厂西侧乡村道路接至红石河，架空管过红石河，穿越石横发电厂社区，向北沿赵庄水库东侧、北侧道路敷设，后沿西北方向斜穿农田敷设至平石路；自平石路向北方向沿农田直埋敷设至平阴界。管径2×DN1400，总长度约4.5公里（含厂区内1.3公里）。</w:t>
            </w:r>
          </w:p>
          <w:p>
            <w:pPr>
              <w:keepNext w:val="0"/>
              <w:keepLines w:val="0"/>
              <w:pageBreakBefore w:val="0"/>
              <w:widowControl w:val="0"/>
              <w:kinsoku/>
              <w:wordWrap/>
              <w:overflowPunct/>
              <w:topLinePunct w:val="0"/>
              <w:bidi w:val="0"/>
              <w:adjustRightInd/>
              <w:snapToGrid/>
              <w:spacing w:after="0" w:afterLines="0" w:line="360" w:lineRule="auto"/>
              <w:ind w:firstLine="480" w:firstLineChars="200"/>
              <w:jc w:val="both"/>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本项目主要建设内容包括管网的敷设以及相应配套的沟槽开挖支护以及路面恢复等土建工程，其中，采用架空方式跨越红石河及1030干渠。本项目主要建设内容见表4-1。</w:t>
            </w:r>
          </w:p>
          <w:p>
            <w:pPr>
              <w:pStyle w:val="69"/>
              <w:keepNext w:val="0"/>
              <w:keepLines w:val="0"/>
              <w:pageBreakBefore w:val="0"/>
              <w:widowControl w:val="0"/>
              <w:kinsoku/>
              <w:wordWrap/>
              <w:overflowPunct/>
              <w:topLinePunct w:val="0"/>
              <w:autoSpaceDE w:val="0"/>
              <w:autoSpaceDN w:val="0"/>
              <w:bidi w:val="0"/>
              <w:adjustRightInd/>
              <w:snapToGrid/>
              <w:spacing w:before="0" w:line="360" w:lineRule="auto"/>
              <w:ind w:right="0"/>
              <w:jc w:val="center"/>
              <w:textAlignment w:val="auto"/>
              <w:outlineLvl w:val="9"/>
              <w:rPr>
                <w:rFonts w:hint="eastAsia" w:ascii="Times New Roman" w:hAnsi="Times New Roman" w:eastAsia="宋体" w:cs="Times New Roman"/>
                <w:b/>
                <w:color w:val="auto"/>
                <w:spacing w:val="0"/>
                <w:w w:val="100"/>
                <w:sz w:val="24"/>
                <w:highlight w:val="none"/>
                <w:lang w:val="en-US" w:eastAsia="zh-CN"/>
              </w:rPr>
            </w:pPr>
            <w:r>
              <w:rPr>
                <w:rFonts w:hint="eastAsia" w:ascii="Times New Roman" w:hAnsi="Times New Roman" w:eastAsia="宋体" w:cs="Times New Roman"/>
                <w:b/>
                <w:color w:val="auto"/>
                <w:spacing w:val="0"/>
                <w:w w:val="100"/>
                <w:sz w:val="24"/>
                <w:highlight w:val="none"/>
                <w:lang w:val="en-US" w:eastAsia="zh-CN"/>
              </w:rPr>
              <w:t>表4-1 本项目热力管线敷设方式汇总表</w:t>
            </w:r>
          </w:p>
          <w:tbl>
            <w:tblPr>
              <w:tblStyle w:val="22"/>
              <w:tblW w:w="4993" w:type="pct"/>
              <w:tblInd w:w="-11"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784"/>
              <w:gridCol w:w="2616"/>
              <w:gridCol w:w="1227"/>
              <w:gridCol w:w="2285"/>
              <w:gridCol w:w="1073"/>
              <w:gridCol w:w="1644"/>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25" w:hRule="exact"/>
              </w:trPr>
              <w:tc>
                <w:tcPr>
                  <w:tcW w:w="407" w:type="pct"/>
                  <w:tcBorders>
                    <w:tl2br w:val="nil"/>
                    <w:tr2bl w:val="nil"/>
                  </w:tcBorders>
                  <w:vAlign w:val="center"/>
                </w:tcPr>
                <w:p>
                  <w:pPr>
                    <w:autoSpaceDE w:val="0"/>
                    <w:autoSpaceDN w:val="0"/>
                    <w:adjustRightInd w:val="0"/>
                    <w:spacing w:line="360" w:lineRule="auto"/>
                    <w:jc w:val="center"/>
                    <w:rPr>
                      <w:rFonts w:hint="default"/>
                      <w:b/>
                      <w:bCs/>
                      <w:color w:val="auto"/>
                      <w:lang w:val="en-US" w:eastAsia="zh-CN"/>
                    </w:rPr>
                  </w:pPr>
                  <w:r>
                    <w:rPr>
                      <w:rFonts w:hint="default"/>
                      <w:b/>
                      <w:bCs/>
                      <w:color w:val="auto"/>
                      <w:lang w:val="en-US" w:eastAsia="zh-CN"/>
                    </w:rPr>
                    <w:t>序号</w:t>
                  </w:r>
                </w:p>
              </w:tc>
              <w:tc>
                <w:tcPr>
                  <w:tcW w:w="1358" w:type="pct"/>
                  <w:tcBorders>
                    <w:tl2br w:val="nil"/>
                    <w:tr2bl w:val="nil"/>
                  </w:tcBorders>
                  <w:vAlign w:val="center"/>
                </w:tcPr>
                <w:p>
                  <w:pPr>
                    <w:autoSpaceDE w:val="0"/>
                    <w:autoSpaceDN w:val="0"/>
                    <w:adjustRightInd w:val="0"/>
                    <w:spacing w:line="360" w:lineRule="auto"/>
                    <w:jc w:val="center"/>
                    <w:rPr>
                      <w:rFonts w:hint="default"/>
                      <w:b/>
                      <w:bCs/>
                      <w:color w:val="auto"/>
                      <w:lang w:val="en-US" w:eastAsia="zh-CN"/>
                    </w:rPr>
                  </w:pPr>
                  <w:r>
                    <w:rPr>
                      <w:rFonts w:hint="default"/>
                      <w:b/>
                      <w:bCs/>
                      <w:color w:val="auto"/>
                      <w:lang w:val="en-US" w:eastAsia="zh-CN"/>
                    </w:rPr>
                    <w:t>名称</w:t>
                  </w:r>
                </w:p>
              </w:tc>
              <w:tc>
                <w:tcPr>
                  <w:tcW w:w="637" w:type="pct"/>
                  <w:tcBorders>
                    <w:tl2br w:val="nil"/>
                    <w:tr2bl w:val="nil"/>
                  </w:tcBorders>
                  <w:vAlign w:val="center"/>
                </w:tcPr>
                <w:p>
                  <w:pPr>
                    <w:autoSpaceDE w:val="0"/>
                    <w:autoSpaceDN w:val="0"/>
                    <w:adjustRightInd w:val="0"/>
                    <w:spacing w:line="360" w:lineRule="auto"/>
                    <w:jc w:val="center"/>
                    <w:rPr>
                      <w:rFonts w:hint="default"/>
                      <w:b/>
                      <w:bCs/>
                      <w:color w:val="auto"/>
                      <w:lang w:val="en-US" w:eastAsia="zh-CN"/>
                    </w:rPr>
                  </w:pPr>
                  <w:r>
                    <w:rPr>
                      <w:rFonts w:hint="default"/>
                      <w:b/>
                      <w:bCs/>
                      <w:color w:val="auto"/>
                      <w:lang w:val="en-US" w:eastAsia="zh-CN"/>
                    </w:rPr>
                    <w:t>管径</w:t>
                  </w:r>
                </w:p>
              </w:tc>
              <w:tc>
                <w:tcPr>
                  <w:tcW w:w="1186" w:type="pct"/>
                  <w:tcBorders>
                    <w:tl2br w:val="nil"/>
                    <w:tr2bl w:val="nil"/>
                  </w:tcBorders>
                  <w:vAlign w:val="center"/>
                </w:tcPr>
                <w:p>
                  <w:pPr>
                    <w:autoSpaceDE w:val="0"/>
                    <w:autoSpaceDN w:val="0"/>
                    <w:adjustRightInd w:val="0"/>
                    <w:spacing w:line="360" w:lineRule="auto"/>
                    <w:jc w:val="center"/>
                    <w:rPr>
                      <w:rFonts w:hint="default"/>
                      <w:b/>
                      <w:bCs/>
                      <w:color w:val="auto"/>
                      <w:lang w:val="en-US" w:eastAsia="zh-CN"/>
                    </w:rPr>
                  </w:pPr>
                  <w:r>
                    <w:rPr>
                      <w:rFonts w:hint="default"/>
                      <w:b/>
                      <w:bCs/>
                      <w:color w:val="auto"/>
                      <w:lang w:val="en-US" w:eastAsia="zh-CN"/>
                    </w:rPr>
                    <w:t>起止点</w:t>
                  </w:r>
                </w:p>
              </w:tc>
              <w:tc>
                <w:tcPr>
                  <w:tcW w:w="557" w:type="pct"/>
                  <w:tcBorders>
                    <w:tl2br w:val="nil"/>
                    <w:tr2bl w:val="nil"/>
                  </w:tcBorders>
                  <w:vAlign w:val="center"/>
                </w:tcPr>
                <w:p>
                  <w:pPr>
                    <w:autoSpaceDE w:val="0"/>
                    <w:autoSpaceDN w:val="0"/>
                    <w:adjustRightInd w:val="0"/>
                    <w:spacing w:line="360" w:lineRule="auto"/>
                    <w:jc w:val="center"/>
                    <w:rPr>
                      <w:rFonts w:hint="default"/>
                      <w:b/>
                      <w:bCs/>
                      <w:color w:val="auto"/>
                      <w:lang w:val="en-US" w:eastAsia="zh-CN"/>
                    </w:rPr>
                  </w:pPr>
                  <w:r>
                    <w:rPr>
                      <w:rFonts w:hint="default"/>
                      <w:b/>
                      <w:bCs/>
                      <w:color w:val="auto"/>
                      <w:lang w:val="en-US" w:eastAsia="zh-CN"/>
                    </w:rPr>
                    <w:t>长度（km）</w:t>
                  </w:r>
                </w:p>
              </w:tc>
              <w:tc>
                <w:tcPr>
                  <w:tcW w:w="853" w:type="pct"/>
                  <w:tcBorders>
                    <w:tl2br w:val="nil"/>
                    <w:tr2bl w:val="nil"/>
                  </w:tcBorders>
                  <w:vAlign w:val="center"/>
                </w:tcPr>
                <w:p>
                  <w:pPr>
                    <w:autoSpaceDE w:val="0"/>
                    <w:autoSpaceDN w:val="0"/>
                    <w:adjustRightInd w:val="0"/>
                    <w:spacing w:line="360" w:lineRule="auto"/>
                    <w:jc w:val="center"/>
                    <w:rPr>
                      <w:rFonts w:hint="default"/>
                      <w:b/>
                      <w:bCs/>
                      <w:color w:val="auto"/>
                      <w:lang w:val="en-US" w:eastAsia="zh-CN"/>
                    </w:rPr>
                  </w:pPr>
                  <w:r>
                    <w:rPr>
                      <w:rFonts w:hint="default"/>
                      <w:b/>
                      <w:bCs/>
                      <w:color w:val="auto"/>
                      <w:lang w:val="en-US" w:eastAsia="zh-CN"/>
                    </w:rPr>
                    <w:t>是否与环评一致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25" w:hRule="exact"/>
              </w:trPr>
              <w:tc>
                <w:tcPr>
                  <w:tcW w:w="407"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1</w:t>
                  </w:r>
                </w:p>
              </w:tc>
              <w:tc>
                <w:tcPr>
                  <w:tcW w:w="1358"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石横电厂红线内</w:t>
                  </w:r>
                </w:p>
              </w:tc>
              <w:tc>
                <w:tcPr>
                  <w:tcW w:w="637"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2×DN1400</w:t>
                  </w:r>
                </w:p>
              </w:tc>
              <w:tc>
                <w:tcPr>
                  <w:tcW w:w="1186"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首站—石横电厂红线</w:t>
                  </w:r>
                </w:p>
              </w:tc>
              <w:tc>
                <w:tcPr>
                  <w:tcW w:w="557"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1.3</w:t>
                  </w:r>
                </w:p>
              </w:tc>
              <w:tc>
                <w:tcPr>
                  <w:tcW w:w="853"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25" w:hRule="exact"/>
              </w:trPr>
              <w:tc>
                <w:tcPr>
                  <w:tcW w:w="407"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2</w:t>
                  </w:r>
                </w:p>
              </w:tc>
              <w:tc>
                <w:tcPr>
                  <w:tcW w:w="1358"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石横电厂红线至平阴界</w:t>
                  </w:r>
                </w:p>
              </w:tc>
              <w:tc>
                <w:tcPr>
                  <w:tcW w:w="637"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2×DN1400</w:t>
                  </w:r>
                </w:p>
              </w:tc>
              <w:tc>
                <w:tcPr>
                  <w:tcW w:w="1186"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石横电厂红线—平阴界</w:t>
                  </w:r>
                </w:p>
              </w:tc>
              <w:tc>
                <w:tcPr>
                  <w:tcW w:w="557"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3.2</w:t>
                  </w:r>
                </w:p>
              </w:tc>
              <w:tc>
                <w:tcPr>
                  <w:tcW w:w="853"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25" w:hRule="exact"/>
              </w:trPr>
              <w:tc>
                <w:tcPr>
                  <w:tcW w:w="407"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3</w:t>
                  </w:r>
                </w:p>
              </w:tc>
              <w:tc>
                <w:tcPr>
                  <w:tcW w:w="1358"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合计</w:t>
                  </w:r>
                </w:p>
              </w:tc>
              <w:tc>
                <w:tcPr>
                  <w:tcW w:w="637"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w:t>
                  </w:r>
                </w:p>
              </w:tc>
              <w:tc>
                <w:tcPr>
                  <w:tcW w:w="1186"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w:t>
                  </w:r>
                </w:p>
              </w:tc>
              <w:tc>
                <w:tcPr>
                  <w:tcW w:w="557"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4.5</w:t>
                  </w:r>
                </w:p>
              </w:tc>
              <w:tc>
                <w:tcPr>
                  <w:tcW w:w="853" w:type="pct"/>
                  <w:tcBorders>
                    <w:tl2br w:val="nil"/>
                    <w:tr2bl w:val="nil"/>
                  </w:tcBorders>
                  <w:vAlign w:val="center"/>
                </w:tcPr>
                <w:p>
                  <w:pPr>
                    <w:autoSpaceDE w:val="0"/>
                    <w:autoSpaceDN w:val="0"/>
                    <w:adjustRightInd w:val="0"/>
                    <w:spacing w:line="360" w:lineRule="auto"/>
                    <w:jc w:val="center"/>
                    <w:rPr>
                      <w:rFonts w:hint="default"/>
                      <w:color w:val="auto"/>
                      <w:lang w:val="en-US" w:eastAsia="zh-CN"/>
                    </w:rPr>
                  </w:pPr>
                  <w:r>
                    <w:rPr>
                      <w:rFonts w:hint="default"/>
                      <w:color w:val="auto"/>
                      <w:lang w:val="en-US" w:eastAsia="zh-CN"/>
                    </w:rPr>
                    <w:t>与环评一致</w:t>
                  </w:r>
                </w:p>
              </w:tc>
            </w:tr>
          </w:tbl>
          <w:p>
            <w:pPr>
              <w:jc w:val="center"/>
              <w:rPr>
                <w:color w:val="auto"/>
              </w:rPr>
            </w:pPr>
            <w:r>
              <w:rPr>
                <w:color w:val="auto"/>
              </w:rPr>
              <w:drawing>
                <wp:inline distT="0" distB="0" distL="114300" distR="114300">
                  <wp:extent cx="3466465" cy="2898775"/>
                  <wp:effectExtent l="0" t="0" r="8255"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3466465" cy="2898775"/>
                          </a:xfrm>
                          <a:prstGeom prst="rect">
                            <a:avLst/>
                          </a:prstGeom>
                          <a:noFill/>
                          <a:ln>
                            <a:noFill/>
                          </a:ln>
                        </pic:spPr>
                      </pic:pic>
                    </a:graphicData>
                  </a:graphic>
                </wp:inline>
              </w:drawing>
            </w:r>
          </w:p>
          <w:p>
            <w:pPr>
              <w:keepNext w:val="0"/>
              <w:keepLines w:val="0"/>
              <w:widowControl/>
              <w:suppressLineNumbers w:val="0"/>
              <w:spacing w:before="0" w:beforeAutospacing="0" w:after="0" w:afterAutospacing="0" w:line="360" w:lineRule="auto"/>
              <w:ind w:right="0"/>
              <w:jc w:val="center"/>
              <w:rPr>
                <w:rFonts w:hint="default"/>
                <w:color w:val="auto"/>
                <w:lang w:val="en-US" w:eastAsia="zh-CN"/>
              </w:rPr>
            </w:pPr>
            <w:r>
              <w:rPr>
                <w:rFonts w:hint="eastAsia" w:ascii="Times New Roman" w:hAnsi="Times New Roman" w:eastAsia="宋体" w:cs="Times New Roman"/>
                <w:b/>
                <w:color w:val="auto"/>
                <w:spacing w:val="0"/>
                <w:w w:val="100"/>
                <w:kern w:val="2"/>
                <w:sz w:val="24"/>
                <w:highlight w:val="none"/>
                <w:lang w:val="en-US" w:eastAsia="zh-CN" w:bidi="zh-CN"/>
              </w:rPr>
              <w:t>图4-1本项目路由图</w:t>
            </w:r>
          </w:p>
        </w:tc>
      </w:tr>
    </w:tbl>
    <w:p>
      <w:pPr>
        <w:autoSpaceDE w:val="0"/>
        <w:autoSpaceDN w:val="0"/>
        <w:adjustRightInd w:val="0"/>
        <w:jc w:val="center"/>
        <w:rPr>
          <w:rFonts w:hint="default" w:ascii="Times New Roman" w:hAnsi="Times New Roman" w:eastAsia="宋体" w:cs="Times New Roman"/>
          <w:b/>
          <w:bCs/>
          <w:color w:val="auto"/>
          <w:sz w:val="32"/>
        </w:rPr>
        <w:sectPr>
          <w:headerReference r:id="rId4" w:type="default"/>
          <w:footerReference r:id="rId5" w:type="default"/>
          <w:pgSz w:w="11906" w:h="16838"/>
          <w:pgMar w:top="1134" w:right="1134" w:bottom="1134" w:left="1134"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7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86" w:type="dxa"/>
          </w:tcPr>
          <w:p>
            <w:pPr>
              <w:pStyle w:val="21"/>
              <w:ind w:left="0" w:leftChars="0" w:firstLine="0" w:firstLineChars="0"/>
              <w:rPr>
                <w:rFonts w:hint="default" w:eastAsia="宋体"/>
                <w:color w:val="auto"/>
                <w:lang w:val="en-US" w:eastAsia="zh-CN"/>
              </w:rPr>
            </w:pPr>
            <w:r>
              <w:rPr>
                <w:color w:val="auto"/>
              </w:rPr>
              <w:drawing>
                <wp:inline distT="0" distB="0" distL="114300" distR="114300">
                  <wp:extent cx="9224010" cy="5674995"/>
                  <wp:effectExtent l="0" t="0" r="11430" b="952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0"/>
                          <a:stretch>
                            <a:fillRect/>
                          </a:stretch>
                        </pic:blipFill>
                        <pic:spPr>
                          <a:xfrm>
                            <a:off x="0" y="0"/>
                            <a:ext cx="9224010" cy="5674995"/>
                          </a:xfrm>
                          <a:prstGeom prst="rect">
                            <a:avLst/>
                          </a:prstGeom>
                          <a:noFill/>
                          <a:ln>
                            <a:noFill/>
                          </a:ln>
                        </pic:spPr>
                      </pic:pic>
                    </a:graphicData>
                  </a:graphic>
                </wp:inline>
              </w:drawing>
            </w:r>
          </w:p>
          <w:p>
            <w:pPr>
              <w:jc w:val="center"/>
              <w:rPr>
                <w:rFonts w:hint="eastAsia" w:eastAsia="宋体"/>
                <w:color w:val="auto"/>
                <w:lang w:val="en-US" w:eastAsia="zh-CN"/>
              </w:rPr>
            </w:pPr>
            <w:r>
              <w:rPr>
                <w:rFonts w:hint="eastAsia" w:ascii="Times New Roman" w:hAnsi="Times New Roman" w:eastAsia="宋体" w:cs="Times New Roman"/>
                <w:b/>
                <w:color w:val="auto"/>
                <w:spacing w:val="0"/>
                <w:w w:val="100"/>
                <w:kern w:val="2"/>
                <w:sz w:val="24"/>
                <w:highlight w:val="none"/>
                <w:lang w:val="en-US" w:eastAsia="zh-CN" w:bidi="zh-CN"/>
              </w:rPr>
              <w:t>图4-</w:t>
            </w:r>
            <w:r>
              <w:rPr>
                <w:rFonts w:hint="eastAsia" w:cs="Times New Roman"/>
                <w:b/>
                <w:color w:val="auto"/>
                <w:spacing w:val="0"/>
                <w:w w:val="100"/>
                <w:kern w:val="2"/>
                <w:sz w:val="24"/>
                <w:highlight w:val="none"/>
                <w:lang w:val="en-US" w:eastAsia="zh-CN" w:bidi="zh-CN"/>
              </w:rPr>
              <w:t>2</w:t>
            </w:r>
            <w:r>
              <w:rPr>
                <w:rFonts w:hint="eastAsia" w:ascii="Times New Roman" w:hAnsi="Times New Roman" w:eastAsia="宋体" w:cs="Times New Roman"/>
                <w:b/>
                <w:color w:val="auto"/>
                <w:spacing w:val="0"/>
                <w:w w:val="100"/>
                <w:kern w:val="2"/>
                <w:sz w:val="24"/>
                <w:highlight w:val="none"/>
                <w:lang w:val="en-US" w:eastAsia="zh-CN" w:bidi="zh-CN"/>
              </w:rPr>
              <w:t>本项目</w:t>
            </w:r>
            <w:r>
              <w:rPr>
                <w:rFonts w:hint="eastAsia" w:cs="Times New Roman"/>
                <w:b/>
                <w:color w:val="auto"/>
                <w:spacing w:val="0"/>
                <w:w w:val="100"/>
                <w:kern w:val="2"/>
                <w:sz w:val="24"/>
                <w:highlight w:val="none"/>
                <w:lang w:val="en-US" w:eastAsia="zh-CN" w:bidi="zh-CN"/>
              </w:rPr>
              <w:t>地理位置图</w:t>
            </w:r>
          </w:p>
        </w:tc>
      </w:tr>
    </w:tbl>
    <w:p>
      <w:pPr>
        <w:autoSpaceDE w:val="0"/>
        <w:autoSpaceDN w:val="0"/>
        <w:adjustRightInd w:val="0"/>
        <w:jc w:val="center"/>
        <w:rPr>
          <w:rFonts w:hint="default" w:ascii="Times New Roman" w:hAnsi="Times New Roman" w:eastAsia="宋体" w:cs="Times New Roman"/>
          <w:b/>
          <w:bCs/>
          <w:color w:val="auto"/>
          <w:sz w:val="32"/>
        </w:rPr>
        <w:sectPr>
          <w:pgSz w:w="16838" w:h="11906" w:orient="landscape"/>
          <w:pgMar w:top="1134" w:right="1134" w:bottom="1134" w:left="1134" w:header="851" w:footer="992" w:gutter="0"/>
          <w:pgBorders>
            <w:top w:val="none" w:sz="0" w:space="0"/>
            <w:left w:val="none" w:sz="0" w:space="0"/>
            <w:bottom w:val="none" w:sz="0" w:space="0"/>
            <w:right w:val="none" w:sz="0" w:space="0"/>
          </w:pgBorders>
          <w:pgNumType w:fmt="decimal"/>
          <w:cols w:space="720" w:num="1"/>
          <w:docGrid w:type="lines" w:linePitch="312" w:charSpace="0"/>
        </w:sectPr>
      </w:pP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numPr>
                <w:ilvl w:val="0"/>
                <w:numId w:val="0"/>
              </w:numPr>
              <w:spacing w:line="360" w:lineRule="auto"/>
              <w:ind w:firstLine="482" w:firstLineChars="200"/>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val="en-US" w:eastAsia="zh-CN"/>
              </w:rPr>
              <w:t>2</w:t>
            </w:r>
            <w:r>
              <w:rPr>
                <w:rFonts w:hint="eastAsia" w:ascii="Times New Roman" w:hAnsi="Times New Roman" w:eastAsia="宋体" w:cs="Times New Roman"/>
                <w:b/>
                <w:bCs/>
                <w:color w:val="auto"/>
                <w:sz w:val="24"/>
                <w:szCs w:val="24"/>
                <w:lang w:eastAsia="zh-CN"/>
              </w:rPr>
              <w:t>、实际工程量及工程建设变化情况：</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经现场勘察，本项目实际建设内容与环评及批复内容一致，目前施工期结束项目建设完毕，现场生态恢复良好，不存在《关于印发环评管理中部分行业建设项目重大变动清单的通知》（环办〔2015〕52号）中所列内容，主要工程组成内容详见表4-1。</w:t>
            </w:r>
          </w:p>
          <w:p>
            <w:pPr>
              <w:keepNext w:val="0"/>
              <w:keepLines w:val="0"/>
              <w:widowControl/>
              <w:suppressLineNumbers w:val="0"/>
              <w:spacing w:before="0" w:beforeAutospacing="0" w:after="0" w:afterAutospacing="0" w:line="360" w:lineRule="auto"/>
              <w:ind w:left="0" w:right="0" w:firstLine="482" w:firstLineChars="200"/>
              <w:jc w:val="center"/>
              <w:rPr>
                <w:rFonts w:hint="default" w:ascii="Times New Roman" w:hAnsi="Times New Roman" w:eastAsia="宋体" w:cs="Times New Roman"/>
                <w:b/>
                <w:bCs/>
                <w:color w:val="auto"/>
                <w:sz w:val="24"/>
                <w:lang w:val="en-US" w:eastAsia="zh-CN"/>
              </w:rPr>
            </w:pPr>
            <w:r>
              <w:rPr>
                <w:rFonts w:hint="default" w:ascii="Times New Roman" w:hAnsi="Times New Roman" w:eastAsia="宋体" w:cs="Times New Roman"/>
                <w:b/>
                <w:bCs/>
                <w:color w:val="auto"/>
                <w:sz w:val="24"/>
                <w:lang w:val="en-US" w:eastAsia="zh-CN"/>
              </w:rPr>
              <w:t>表</w:t>
            </w:r>
            <w:r>
              <w:rPr>
                <w:rFonts w:hint="eastAsia" w:ascii="Times New Roman" w:hAnsi="Times New Roman" w:eastAsia="宋体" w:cs="Times New Roman"/>
                <w:b/>
                <w:bCs/>
                <w:color w:val="auto"/>
                <w:sz w:val="24"/>
                <w:lang w:val="en-US" w:eastAsia="zh-CN"/>
              </w:rPr>
              <w:t>4</w:t>
            </w:r>
            <w:r>
              <w:rPr>
                <w:rFonts w:hint="default" w:ascii="Times New Roman" w:hAnsi="Times New Roman" w:eastAsia="宋体" w:cs="Times New Roman"/>
                <w:b/>
                <w:bCs/>
                <w:color w:val="auto"/>
                <w:sz w:val="24"/>
                <w:lang w:val="en-US" w:eastAsia="zh-CN"/>
              </w:rPr>
              <w:t>-1</w:t>
            </w:r>
            <w:r>
              <w:rPr>
                <w:rFonts w:hint="eastAsia" w:ascii="Times New Roman" w:hAnsi="Times New Roman" w:eastAsia="宋体" w:cs="Times New Roman"/>
                <w:b/>
                <w:bCs/>
                <w:color w:val="auto"/>
                <w:sz w:val="24"/>
                <w:lang w:val="en-US" w:eastAsia="zh-CN"/>
              </w:rPr>
              <w:t xml:space="preserve"> </w:t>
            </w:r>
            <w:r>
              <w:rPr>
                <w:rFonts w:hint="default" w:ascii="Times New Roman" w:hAnsi="Times New Roman" w:eastAsia="宋体" w:cs="Times New Roman"/>
                <w:b/>
                <w:bCs/>
                <w:color w:val="auto"/>
                <w:sz w:val="24"/>
                <w:lang w:val="en-US" w:eastAsia="zh-CN"/>
              </w:rPr>
              <w:t xml:space="preserve"> 本项目工程组成一览表</w:t>
            </w:r>
          </w:p>
          <w:tbl>
            <w:tblPr>
              <w:tblStyle w:val="22"/>
              <w:tblW w:w="4963"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005"/>
              <w:gridCol w:w="1775"/>
              <w:gridCol w:w="5244"/>
              <w:gridCol w:w="1513"/>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5" w:hRule="atLeast"/>
                <w:jc w:val="center"/>
              </w:trPr>
              <w:tc>
                <w:tcPr>
                  <w:tcW w:w="527"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工程类别</w:t>
                  </w: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工程名称</w:t>
                  </w:r>
                </w:p>
              </w:tc>
              <w:tc>
                <w:tcPr>
                  <w:tcW w:w="2748"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建设内容及规模</w:t>
                  </w:r>
                </w:p>
              </w:tc>
              <w:tc>
                <w:tcPr>
                  <w:tcW w:w="793" w:type="pct"/>
                  <w:tcBorders>
                    <w:tl2br w:val="nil"/>
                    <w:tr2bl w:val="nil"/>
                  </w:tcBorders>
                  <w:vAlign w:val="center"/>
                </w:tcPr>
                <w:p>
                  <w:pPr>
                    <w:autoSpaceDE w:val="0"/>
                    <w:autoSpaceDN w:val="0"/>
                    <w:adjustRightInd w:val="0"/>
                    <w:spacing w:line="240" w:lineRule="auto"/>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是否与环评</w:t>
                  </w:r>
                </w:p>
                <w:p>
                  <w:pPr>
                    <w:autoSpaceDE w:val="0"/>
                    <w:autoSpaceDN w:val="0"/>
                    <w:adjustRightInd w:val="0"/>
                    <w:spacing w:line="240" w:lineRule="auto"/>
                    <w:jc w:val="center"/>
                    <w:rPr>
                      <w:rFonts w:hint="eastAsia"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lang w:val="en-US" w:eastAsia="zh-CN"/>
                    </w:rPr>
                    <w:t>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42" w:hRule="atLeast"/>
                <w:jc w:val="center"/>
              </w:trPr>
              <w:tc>
                <w:tcPr>
                  <w:tcW w:w="527" w:type="pct"/>
                  <w:vMerge w:val="restar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主体工程</w:t>
                  </w: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石横电厂红线内供热管网工程</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管径2×DN1400，起止点为首站——石横电厂红线，长度共1.3km</w:t>
                  </w:r>
                </w:p>
              </w:tc>
              <w:tc>
                <w:tcPr>
                  <w:tcW w:w="793" w:type="pct"/>
                  <w:tcBorders>
                    <w:tl2br w:val="nil"/>
                    <w:tr2bl w:val="nil"/>
                  </w:tcBorders>
                  <w:vAlign w:val="center"/>
                </w:tcPr>
                <w:p>
                  <w:pPr>
                    <w:autoSpaceDE w:val="0"/>
                    <w:autoSpaceDN w:val="0"/>
                    <w:adjustRightInd w:val="0"/>
                    <w:spacing w:line="240" w:lineRule="auto"/>
                    <w:jc w:val="center"/>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42" w:hRule="atLeast"/>
                <w:jc w:val="center"/>
              </w:trPr>
              <w:tc>
                <w:tcPr>
                  <w:tcW w:w="527" w:type="pct"/>
                  <w:vMerge w:val="continue"/>
                  <w:tcBorders>
                    <w:tl2br w:val="nil"/>
                    <w:tr2bl w:val="nil"/>
                  </w:tcBorders>
                  <w:vAlign w:val="center"/>
                </w:tcPr>
                <w:p>
                  <w:pPr>
                    <w:autoSpaceDE w:val="0"/>
                    <w:autoSpaceDN w:val="0"/>
                    <w:adjustRightInd w:val="0"/>
                    <w:spacing w:line="240" w:lineRule="auto"/>
                    <w:ind w:firstLine="420" w:firstLineChars="200"/>
                    <w:jc w:val="center"/>
                    <w:rPr>
                      <w:rFonts w:hint="default" w:ascii="Times New Roman" w:hAnsi="Times New Roman" w:eastAsia="宋体" w:cs="Times New Roman"/>
                      <w:color w:val="auto"/>
                      <w:sz w:val="21"/>
                      <w:szCs w:val="21"/>
                      <w:lang w:val="en-US" w:eastAsia="zh-CN"/>
                    </w:rPr>
                  </w:pP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石横电厂红线至平阴界供热管网工程</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管径2×DN1400，起止点为石横电厂红线——平阴界，长度共3.2km</w:t>
                  </w:r>
                </w:p>
              </w:tc>
              <w:tc>
                <w:tcPr>
                  <w:tcW w:w="793"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41" w:hRule="atLeast"/>
                <w:jc w:val="center"/>
              </w:trPr>
              <w:tc>
                <w:tcPr>
                  <w:tcW w:w="527" w:type="pct"/>
                  <w:vMerge w:val="restar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临时工程</w:t>
                  </w: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施工便道</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依托项目工程区管道沿线道路、空地。施工场内可结合实际情况，就近布置施工临时通道。</w:t>
                  </w:r>
                </w:p>
              </w:tc>
              <w:tc>
                <w:tcPr>
                  <w:tcW w:w="793"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968" w:hRule="atLeast"/>
                <w:jc w:val="center"/>
              </w:trPr>
              <w:tc>
                <w:tcPr>
                  <w:tcW w:w="527" w:type="pct"/>
                  <w:vMerge w:val="continue"/>
                  <w:tcBorders>
                    <w:tl2br w:val="nil"/>
                    <w:tr2bl w:val="nil"/>
                  </w:tcBorders>
                  <w:vAlign w:val="center"/>
                </w:tcPr>
                <w:p>
                  <w:pPr>
                    <w:autoSpaceDE w:val="0"/>
                    <w:autoSpaceDN w:val="0"/>
                    <w:adjustRightInd w:val="0"/>
                    <w:spacing w:line="240" w:lineRule="auto"/>
                    <w:ind w:firstLine="420" w:firstLineChars="200"/>
                    <w:jc w:val="center"/>
                    <w:rPr>
                      <w:rFonts w:hint="default" w:ascii="Times New Roman" w:hAnsi="Times New Roman" w:eastAsia="宋体" w:cs="Times New Roman"/>
                      <w:color w:val="auto"/>
                      <w:sz w:val="21"/>
                      <w:szCs w:val="21"/>
                      <w:lang w:val="en-US" w:eastAsia="zh-CN"/>
                    </w:rPr>
                  </w:pP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临建设施</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项目分段施工，施工点较分散，施工现场设置临时工棚，施工设备及临时料场设置于道路一侧或空地处，加临时围挡。</w:t>
                  </w:r>
                </w:p>
              </w:tc>
              <w:tc>
                <w:tcPr>
                  <w:tcW w:w="793"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41" w:hRule="atLeast"/>
                <w:jc w:val="center"/>
              </w:trPr>
              <w:tc>
                <w:tcPr>
                  <w:tcW w:w="527" w:type="pct"/>
                  <w:vMerge w:val="continue"/>
                  <w:tcBorders>
                    <w:tl2br w:val="nil"/>
                    <w:tr2bl w:val="nil"/>
                  </w:tcBorders>
                  <w:vAlign w:val="center"/>
                </w:tcPr>
                <w:p>
                  <w:pPr>
                    <w:autoSpaceDE w:val="0"/>
                    <w:autoSpaceDN w:val="0"/>
                    <w:adjustRightInd w:val="0"/>
                    <w:spacing w:line="240" w:lineRule="auto"/>
                    <w:ind w:firstLine="420" w:firstLineChars="200"/>
                    <w:jc w:val="center"/>
                    <w:rPr>
                      <w:rFonts w:hint="default" w:ascii="Times New Roman" w:hAnsi="Times New Roman" w:eastAsia="宋体" w:cs="Times New Roman"/>
                      <w:color w:val="auto"/>
                      <w:sz w:val="21"/>
                      <w:szCs w:val="21"/>
                      <w:lang w:val="en-US" w:eastAsia="zh-CN"/>
                    </w:rPr>
                  </w:pP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弃土弃渣</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项目施工过程中产生渣土临工程施工区临时堆放，加临时围挡。产生的渣土及时回田消纳，做到工完场清。</w:t>
                  </w:r>
                </w:p>
              </w:tc>
              <w:tc>
                <w:tcPr>
                  <w:tcW w:w="793"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42" w:hRule="atLeast"/>
                <w:jc w:val="center"/>
              </w:trPr>
              <w:tc>
                <w:tcPr>
                  <w:tcW w:w="527" w:type="pct"/>
                  <w:vMerge w:val="restar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环保工程</w:t>
                  </w: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废气治理</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项目运营期不产生废气；施工期产生扬尘，采取施工围挡、帆布遮盖，绿化等措施。</w:t>
                  </w:r>
                </w:p>
              </w:tc>
              <w:tc>
                <w:tcPr>
                  <w:tcW w:w="793"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42" w:hRule="atLeast"/>
                <w:jc w:val="center"/>
              </w:trPr>
              <w:tc>
                <w:tcPr>
                  <w:tcW w:w="527" w:type="pct"/>
                  <w:vMerge w:val="continue"/>
                  <w:tcBorders>
                    <w:tl2br w:val="nil"/>
                    <w:tr2bl w:val="nil"/>
                  </w:tcBorders>
                  <w:vAlign w:val="center"/>
                </w:tcPr>
                <w:p>
                  <w:pPr>
                    <w:autoSpaceDE w:val="0"/>
                    <w:autoSpaceDN w:val="0"/>
                    <w:adjustRightInd w:val="0"/>
                    <w:spacing w:line="240" w:lineRule="auto"/>
                    <w:ind w:firstLine="420" w:firstLineChars="200"/>
                    <w:jc w:val="center"/>
                    <w:rPr>
                      <w:rFonts w:hint="default" w:ascii="Times New Roman" w:hAnsi="Times New Roman" w:eastAsia="宋体" w:cs="Times New Roman"/>
                      <w:color w:val="auto"/>
                      <w:sz w:val="21"/>
                      <w:szCs w:val="21"/>
                      <w:lang w:val="en-US" w:eastAsia="zh-CN"/>
                    </w:rPr>
                  </w:pP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废水治理</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项目运营期不产生废水；施工期产生施工员工生活污水，产生量较少，采取移动式生态厕所收集后直接外运。</w:t>
                  </w:r>
                </w:p>
              </w:tc>
              <w:tc>
                <w:tcPr>
                  <w:tcW w:w="793"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41" w:hRule="atLeast"/>
                <w:jc w:val="center"/>
              </w:trPr>
              <w:tc>
                <w:tcPr>
                  <w:tcW w:w="527" w:type="pct"/>
                  <w:vMerge w:val="continue"/>
                  <w:tcBorders>
                    <w:tl2br w:val="nil"/>
                    <w:tr2bl w:val="nil"/>
                  </w:tcBorders>
                  <w:vAlign w:val="center"/>
                </w:tcPr>
                <w:p>
                  <w:pPr>
                    <w:autoSpaceDE w:val="0"/>
                    <w:autoSpaceDN w:val="0"/>
                    <w:adjustRightInd w:val="0"/>
                    <w:spacing w:line="240" w:lineRule="auto"/>
                    <w:ind w:firstLine="420" w:firstLineChars="200"/>
                    <w:jc w:val="center"/>
                    <w:rPr>
                      <w:rFonts w:hint="default" w:ascii="Times New Roman" w:hAnsi="Times New Roman" w:eastAsia="宋体" w:cs="Times New Roman"/>
                      <w:color w:val="auto"/>
                      <w:sz w:val="21"/>
                      <w:szCs w:val="21"/>
                      <w:lang w:val="en-US" w:eastAsia="zh-CN"/>
                    </w:rPr>
                  </w:pP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噪声治理</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项目运营期不产生噪声。施工设备选用低噪声设备，施工区围挡，采取基础减震、安装减震垫等降噪措施。</w:t>
                  </w:r>
                </w:p>
              </w:tc>
              <w:tc>
                <w:tcPr>
                  <w:tcW w:w="793"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968" w:hRule="atLeast"/>
                <w:jc w:val="center"/>
              </w:trPr>
              <w:tc>
                <w:tcPr>
                  <w:tcW w:w="527" w:type="pct"/>
                  <w:vMerge w:val="continue"/>
                  <w:tcBorders>
                    <w:tl2br w:val="nil"/>
                    <w:tr2bl w:val="nil"/>
                  </w:tcBorders>
                  <w:vAlign w:val="center"/>
                </w:tcPr>
                <w:p>
                  <w:pPr>
                    <w:autoSpaceDE w:val="0"/>
                    <w:autoSpaceDN w:val="0"/>
                    <w:adjustRightInd w:val="0"/>
                    <w:spacing w:line="240" w:lineRule="auto"/>
                    <w:ind w:firstLine="420" w:firstLineChars="200"/>
                    <w:jc w:val="center"/>
                    <w:rPr>
                      <w:rFonts w:hint="default" w:ascii="Times New Roman" w:hAnsi="Times New Roman" w:eastAsia="宋体" w:cs="Times New Roman"/>
                      <w:color w:val="auto"/>
                      <w:sz w:val="21"/>
                      <w:szCs w:val="21"/>
                      <w:lang w:val="en-US" w:eastAsia="zh-CN"/>
                    </w:rPr>
                  </w:pP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固体废物治理</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项目运营期不产生固体废物。施工员工产生生活垃圾集中收集，交由当地环卫部门处理。施工剩余废料依托当地职能部门有偿清运。</w:t>
                  </w:r>
                </w:p>
              </w:tc>
              <w:tc>
                <w:tcPr>
                  <w:tcW w:w="793"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967" w:hRule="atLeast"/>
                <w:jc w:val="center"/>
              </w:trPr>
              <w:tc>
                <w:tcPr>
                  <w:tcW w:w="527" w:type="pct"/>
                  <w:vMerge w:val="continue"/>
                  <w:tcBorders>
                    <w:tl2br w:val="nil"/>
                    <w:tr2bl w:val="nil"/>
                  </w:tcBorders>
                  <w:vAlign w:val="center"/>
                </w:tcPr>
                <w:p>
                  <w:pPr>
                    <w:autoSpaceDE w:val="0"/>
                    <w:autoSpaceDN w:val="0"/>
                    <w:adjustRightInd w:val="0"/>
                    <w:spacing w:line="360" w:lineRule="auto"/>
                    <w:ind w:firstLine="420" w:firstLineChars="200"/>
                    <w:jc w:val="center"/>
                    <w:rPr>
                      <w:rFonts w:hint="default" w:ascii="Times New Roman" w:hAnsi="Times New Roman" w:eastAsia="宋体" w:cs="Times New Roman"/>
                      <w:color w:val="auto"/>
                      <w:sz w:val="21"/>
                      <w:szCs w:val="21"/>
                      <w:lang w:val="en-US" w:eastAsia="zh-CN"/>
                    </w:rPr>
                  </w:pP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生态保护</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项目按作业区分段方式施工，采取相应的水土保持措施，施工场地恢复、绿化，沿线生态绿化、土地裸露生态修复等措施。</w:t>
                  </w:r>
                </w:p>
              </w:tc>
              <w:tc>
                <w:tcPr>
                  <w:tcW w:w="793"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462" w:hRule="atLeast"/>
                <w:jc w:val="center"/>
              </w:trPr>
              <w:tc>
                <w:tcPr>
                  <w:tcW w:w="527" w:type="pct"/>
                  <w:vMerge w:val="restart"/>
                  <w:tcBorders>
                    <w:tl2br w:val="nil"/>
                    <w:tr2bl w:val="nil"/>
                  </w:tcBorders>
                  <w:vAlign w:val="center"/>
                </w:tcPr>
                <w:p>
                  <w:pPr>
                    <w:autoSpaceDE w:val="0"/>
                    <w:autoSpaceDN w:val="0"/>
                    <w:adjustRightInd w:val="0"/>
                    <w:spacing w:line="36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公用工程</w:t>
                  </w: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供水工程</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施工生活用水利用附近村庄的自来水。</w:t>
                  </w:r>
                </w:p>
              </w:tc>
              <w:tc>
                <w:tcPr>
                  <w:tcW w:w="793"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41" w:hRule="atLeast"/>
                <w:jc w:val="center"/>
              </w:trPr>
              <w:tc>
                <w:tcPr>
                  <w:tcW w:w="527" w:type="pct"/>
                  <w:vMerge w:val="continue"/>
                  <w:tcBorders>
                    <w:tl2br w:val="nil"/>
                    <w:tr2bl w:val="nil"/>
                  </w:tcBorders>
                  <w:vAlign w:val="center"/>
                </w:tcPr>
                <w:p>
                  <w:pPr>
                    <w:autoSpaceDE w:val="0"/>
                    <w:autoSpaceDN w:val="0"/>
                    <w:adjustRightInd w:val="0"/>
                    <w:spacing w:line="360" w:lineRule="auto"/>
                    <w:ind w:firstLine="420" w:firstLineChars="200"/>
                    <w:rPr>
                      <w:rFonts w:hint="default" w:ascii="Times New Roman" w:hAnsi="Times New Roman" w:eastAsia="宋体" w:cs="Times New Roman"/>
                      <w:color w:val="auto"/>
                      <w:sz w:val="21"/>
                      <w:szCs w:val="21"/>
                      <w:lang w:val="en-US" w:eastAsia="zh-CN"/>
                    </w:rPr>
                  </w:pPr>
                </w:p>
              </w:tc>
              <w:tc>
                <w:tcPr>
                  <w:tcW w:w="930"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供电工程</w:t>
                  </w:r>
                </w:p>
              </w:tc>
              <w:tc>
                <w:tcPr>
                  <w:tcW w:w="2748" w:type="pct"/>
                  <w:tcBorders>
                    <w:tl2br w:val="nil"/>
                    <w:tr2bl w:val="nil"/>
                  </w:tcBorders>
                  <w:vAlign w:val="center"/>
                </w:tcPr>
                <w:p>
                  <w:pPr>
                    <w:autoSpaceDE w:val="0"/>
                    <w:autoSpaceDN w:val="0"/>
                    <w:adjustRightInd w:val="0"/>
                    <w:spacing w:line="240" w:lineRule="auto"/>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施工照明、施工用电依托当地供电系统，利用附近电网电源和建筑物原有电源。</w:t>
                  </w:r>
                </w:p>
              </w:tc>
              <w:tc>
                <w:tcPr>
                  <w:tcW w:w="793" w:type="pct"/>
                  <w:tcBorders>
                    <w:tl2br w:val="nil"/>
                    <w:tr2bl w:val="nil"/>
                  </w:tcBorders>
                  <w:vAlign w:val="center"/>
                </w:tcPr>
                <w:p>
                  <w:pPr>
                    <w:autoSpaceDE w:val="0"/>
                    <w:autoSpaceDN w:val="0"/>
                    <w:adjustRightInd w:val="0"/>
                    <w:spacing w:line="240" w:lineRule="auto"/>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与环评一致</w:t>
                  </w:r>
                </w:p>
              </w:tc>
            </w:tr>
          </w:tbl>
          <w:p>
            <w:pPr>
              <w:numPr>
                <w:ilvl w:val="0"/>
                <w:numId w:val="0"/>
              </w:numPr>
              <w:spacing w:line="360" w:lineRule="auto"/>
              <w:ind w:leftChars="200"/>
              <w:rPr>
                <w:rFonts w:hint="eastAsia" w:ascii="Times New Roman" w:hAnsi="Times New Roman" w:eastAsia="宋体" w:cs="Times New Roman"/>
                <w:b/>
                <w:bCs/>
                <w:color w:val="auto"/>
                <w:sz w:val="24"/>
                <w:szCs w:val="24"/>
                <w:lang w:val="en-US" w:eastAsia="zh-CN"/>
              </w:rPr>
            </w:pPr>
          </w:p>
          <w:p>
            <w:pPr>
              <w:numPr>
                <w:ilvl w:val="0"/>
                <w:numId w:val="0"/>
              </w:numPr>
              <w:spacing w:line="360" w:lineRule="auto"/>
              <w:ind w:leftChars="200"/>
              <w:rPr>
                <w:rFonts w:hint="eastAsia" w:ascii="Times New Roman" w:hAnsi="Times New Roman" w:eastAsia="宋体" w:cs="Times New Roman"/>
                <w:b/>
                <w:bCs/>
                <w:color w:val="auto"/>
                <w:sz w:val="24"/>
                <w:szCs w:val="24"/>
                <w:lang w:val="en-US" w:eastAsia="zh-CN"/>
              </w:rPr>
            </w:pPr>
          </w:p>
          <w:p>
            <w:pPr>
              <w:numPr>
                <w:ilvl w:val="0"/>
                <w:numId w:val="0"/>
              </w:numPr>
              <w:spacing w:line="360" w:lineRule="auto"/>
              <w:ind w:leftChars="200"/>
              <w:rPr>
                <w:rFonts w:hint="eastAsia" w:ascii="Times New Roman" w:hAnsi="Times New Roman" w:eastAsia="宋体" w:cs="Times New Roman"/>
                <w:b/>
                <w:bCs/>
                <w:color w:val="auto"/>
                <w:sz w:val="24"/>
                <w:szCs w:val="24"/>
                <w:lang w:val="en-US" w:eastAsia="zh-CN"/>
              </w:rPr>
            </w:pPr>
          </w:p>
          <w:p>
            <w:pPr>
              <w:numPr>
                <w:ilvl w:val="0"/>
                <w:numId w:val="0"/>
              </w:numPr>
              <w:spacing w:line="360" w:lineRule="auto"/>
              <w:ind w:leftChars="200"/>
              <w:rPr>
                <w:rFonts w:hint="eastAsia" w:ascii="Times New Roman" w:hAnsi="Times New Roman" w:eastAsia="宋体" w:cs="Times New Roman"/>
                <w:b/>
                <w:bCs/>
                <w:color w:val="auto"/>
                <w:sz w:val="24"/>
                <w:szCs w:val="24"/>
                <w:lang w:val="en-US" w:eastAsia="zh-CN"/>
              </w:rPr>
            </w:pPr>
          </w:p>
          <w:p>
            <w:pPr>
              <w:numPr>
                <w:ilvl w:val="0"/>
                <w:numId w:val="0"/>
              </w:numPr>
              <w:spacing w:line="360" w:lineRule="auto"/>
              <w:ind w:leftChars="200"/>
              <w:rPr>
                <w:rFonts w:hint="eastAsia" w:ascii="Times New Roman" w:hAnsi="Times New Roman" w:eastAsia="宋体" w:cs="Times New Roman"/>
                <w:b/>
                <w:bCs/>
                <w:color w:val="auto"/>
                <w:sz w:val="24"/>
                <w:szCs w:val="24"/>
                <w:lang w:val="en-US" w:eastAsia="zh-CN"/>
              </w:rPr>
            </w:pPr>
          </w:p>
          <w:p>
            <w:pPr>
              <w:pStyle w:val="21"/>
              <w:rPr>
                <w:rFonts w:hint="eastAsia"/>
                <w:color w:val="auto"/>
                <w:lang w:val="en-US" w:eastAsia="zh-CN"/>
              </w:rPr>
            </w:pPr>
          </w:p>
          <w:p>
            <w:pPr>
              <w:numPr>
                <w:ilvl w:val="0"/>
                <w:numId w:val="0"/>
              </w:numPr>
              <w:spacing w:line="360" w:lineRule="auto"/>
              <w:ind w:leftChars="200"/>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3、</w:t>
            </w:r>
            <w:r>
              <w:rPr>
                <w:rFonts w:hint="eastAsia" w:cs="Times New Roman"/>
                <w:b/>
                <w:bCs/>
                <w:color w:val="auto"/>
                <w:sz w:val="24"/>
                <w:szCs w:val="24"/>
                <w:lang w:val="en-US" w:eastAsia="zh-CN"/>
              </w:rPr>
              <w:t>本项目管道建设方案及施工方案</w:t>
            </w:r>
            <w:r>
              <w:rPr>
                <w:rFonts w:hint="eastAsia" w:ascii="Times New Roman" w:hAnsi="Times New Roman" w:eastAsia="宋体" w:cs="Times New Roman"/>
                <w:b/>
                <w:bCs/>
                <w:color w:val="auto"/>
                <w:sz w:val="24"/>
                <w:szCs w:val="24"/>
                <w:lang w:val="en-US" w:eastAsia="zh-CN"/>
              </w:rPr>
              <w:t>：</w:t>
            </w:r>
          </w:p>
          <w:p>
            <w:pPr>
              <w:autoSpaceDE w:val="0"/>
              <w:autoSpaceDN w:val="0"/>
              <w:adjustRightInd w:val="0"/>
              <w:spacing w:line="360" w:lineRule="auto"/>
              <w:ind w:firstLine="480" w:firstLineChars="200"/>
              <w:rPr>
                <w:rFonts w:hint="eastAsia"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本项目主要为管线施工过程，施工流程见图4-3</w:t>
            </w:r>
            <w:r>
              <w:rPr>
                <w:rFonts w:hint="eastAsia" w:cs="Times New Roman"/>
                <w:color w:val="auto"/>
                <w:sz w:val="24"/>
                <w:szCs w:val="24"/>
                <w:lang w:val="en-US" w:eastAsia="zh-CN"/>
              </w:rPr>
              <w:t>。</w:t>
            </w:r>
          </w:p>
          <w:p>
            <w:pPr>
              <w:keepNext w:val="0"/>
              <w:keepLines w:val="0"/>
              <w:widowControl/>
              <w:suppressLineNumbers w:val="0"/>
              <w:spacing w:before="0" w:beforeAutospacing="0" w:after="0" w:afterAutospacing="0" w:line="360" w:lineRule="auto"/>
              <w:ind w:right="0"/>
              <w:jc w:val="center"/>
              <w:rPr>
                <w:rFonts w:hint="default" w:ascii="Times New Roman" w:hAnsi="Times New Roman" w:eastAsia="宋体" w:cs="Times New Roman"/>
                <w:b/>
                <w:bCs/>
                <w:color w:val="auto"/>
                <w:sz w:val="24"/>
                <w:lang w:val="en-US" w:eastAsia="zh-CN"/>
              </w:rPr>
            </w:pPr>
            <w:r>
              <w:rPr>
                <w:rFonts w:hint="default" w:ascii="Times New Roman" w:hAnsi="Times New Roman" w:eastAsia="宋体" w:cs="Times New Roman"/>
                <w:b/>
                <w:bCs/>
                <w:color w:val="auto"/>
                <w:sz w:val="24"/>
                <w:lang w:val="en-US" w:eastAsia="zh-CN"/>
              </w:rPr>
              <w:drawing>
                <wp:inline distT="0" distB="0" distL="0" distR="0">
                  <wp:extent cx="5906770" cy="1842770"/>
                  <wp:effectExtent l="0" t="0" r="6350" b="1270"/>
                  <wp:docPr id="27"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6.jpeg"/>
                          <pic:cNvPicPr>
                            <a:picLocks noChangeAspect="1"/>
                          </pic:cNvPicPr>
                        </pic:nvPicPr>
                        <pic:blipFill>
                          <a:blip r:embed="rId11" cstate="print"/>
                          <a:stretch>
                            <a:fillRect/>
                          </a:stretch>
                        </pic:blipFill>
                        <pic:spPr>
                          <a:xfrm>
                            <a:off x="0" y="0"/>
                            <a:ext cx="5906770" cy="1843277"/>
                          </a:xfrm>
                          <a:prstGeom prst="rect">
                            <a:avLst/>
                          </a:prstGeom>
                        </pic:spPr>
                      </pic:pic>
                    </a:graphicData>
                  </a:graphic>
                </wp:inline>
              </w:drawing>
            </w:r>
          </w:p>
          <w:p>
            <w:pPr>
              <w:keepNext w:val="0"/>
              <w:keepLines w:val="0"/>
              <w:widowControl/>
              <w:suppressLineNumbers w:val="0"/>
              <w:spacing w:before="0" w:beforeAutospacing="0" w:after="0" w:afterAutospacing="0" w:line="360" w:lineRule="auto"/>
              <w:ind w:right="0"/>
              <w:jc w:val="center"/>
              <w:rPr>
                <w:rFonts w:hint="default" w:ascii="Times New Roman" w:hAnsi="Times New Roman" w:eastAsia="宋体" w:cs="Times New Roman"/>
                <w:b/>
                <w:bCs/>
                <w:color w:val="auto"/>
                <w:sz w:val="24"/>
                <w:lang w:val="en-US" w:eastAsia="zh-CN"/>
              </w:rPr>
            </w:pPr>
            <w:r>
              <w:rPr>
                <w:rFonts w:hint="eastAsia" w:ascii="Times New Roman" w:hAnsi="Times New Roman" w:eastAsia="宋体" w:cs="Times New Roman"/>
                <w:b/>
                <w:bCs/>
                <w:color w:val="auto"/>
                <w:sz w:val="24"/>
                <w:lang w:val="en-US" w:eastAsia="zh-CN"/>
              </w:rPr>
              <w:t>图4-3 本项目供热管道施工工艺流程图</w:t>
            </w:r>
          </w:p>
          <w:p>
            <w:pPr>
              <w:autoSpaceDE w:val="0"/>
              <w:autoSpaceDN w:val="0"/>
              <w:adjustRightInd w:val="0"/>
              <w:spacing w:line="360" w:lineRule="auto"/>
              <w:ind w:firstLine="482" w:firstLineChars="200"/>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（1）管道建设方案</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本项目新建DN1400热力管网4.5公里，设计供回水温度为125/40℃，设计压力兆帕，管道压力等级PN25。</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cs="Times New Roman"/>
                <w:b w:val="0"/>
                <w:bCs w:val="0"/>
                <w:color w:val="auto"/>
                <w:sz w:val="24"/>
                <w:szCs w:val="24"/>
                <w:lang w:val="en-US" w:eastAsia="zh-CN"/>
              </w:rPr>
              <w:t>①</w:t>
            </w:r>
            <w:r>
              <w:rPr>
                <w:rFonts w:hint="eastAsia" w:ascii="Times New Roman" w:hAnsi="Times New Roman" w:eastAsia="宋体" w:cs="Times New Roman"/>
                <w:b w:val="0"/>
                <w:bCs w:val="0"/>
                <w:color w:val="auto"/>
                <w:sz w:val="24"/>
                <w:szCs w:val="24"/>
                <w:lang w:val="en-US" w:eastAsia="zh-CN"/>
              </w:rPr>
              <w:t>石横电厂厂区内配套管网</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石横电厂厂区内管网接自厂区西南侧拟建首站位置，沿厂区内西侧围墙向北敷设，敷设至厂区西北角后出厂区，管道拟采用直埋方式敷设，总长度约1.3公里。</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②石热入济长距离输送供热工程（泰安段）配套管网</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自石横电厂出线后沿电厂西侧乡村道路接至红石河，架空管过红石河，穿越石横发电厂社区，向北沿赵庄水库东侧、北侧道路敷设，后沿西北方向斜穿农田敷设至平石路；自平石路向北方向沿农田直埋敷设至平阴界，管径2×DN1400，总长度约3.2公里。</w:t>
            </w:r>
          </w:p>
          <w:p>
            <w:pPr>
              <w:autoSpaceDE w:val="0"/>
              <w:autoSpaceDN w:val="0"/>
              <w:adjustRightInd w:val="0"/>
              <w:spacing w:line="360" w:lineRule="auto"/>
              <w:ind w:firstLine="482" w:firstLineChars="200"/>
              <w:rPr>
                <w:rFonts w:hint="eastAsia" w:ascii="Times New Roman" w:hAnsi="Times New Roman" w:eastAsia="宋体" w:cs="Times New Roman"/>
                <w:b/>
                <w:bCs/>
                <w:color w:val="auto"/>
                <w:sz w:val="24"/>
                <w:szCs w:val="24"/>
                <w:lang w:val="en-US" w:eastAsia="zh-CN"/>
              </w:rPr>
            </w:pPr>
            <w:r>
              <w:rPr>
                <w:rFonts w:hint="eastAsia" w:cs="Times New Roman"/>
                <w:b/>
                <w:bCs/>
                <w:color w:val="auto"/>
                <w:sz w:val="24"/>
                <w:szCs w:val="24"/>
                <w:lang w:val="en-US" w:eastAsia="zh-CN"/>
              </w:rPr>
              <w:t>（2）</w:t>
            </w:r>
            <w:r>
              <w:rPr>
                <w:rFonts w:hint="eastAsia" w:ascii="Times New Roman" w:hAnsi="Times New Roman" w:eastAsia="宋体" w:cs="Times New Roman"/>
                <w:b/>
                <w:bCs/>
                <w:color w:val="auto"/>
                <w:sz w:val="24"/>
                <w:szCs w:val="24"/>
                <w:lang w:val="en-US" w:eastAsia="zh-CN"/>
              </w:rPr>
              <w:t>施工方案</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cs="Times New Roman"/>
                <w:b w:val="0"/>
                <w:bCs w:val="0"/>
                <w:color w:val="auto"/>
                <w:sz w:val="24"/>
                <w:szCs w:val="24"/>
                <w:lang w:val="en-US" w:eastAsia="zh-CN"/>
              </w:rPr>
              <w:t>①</w:t>
            </w:r>
            <w:r>
              <w:rPr>
                <w:rFonts w:hint="eastAsia" w:ascii="Times New Roman" w:hAnsi="Times New Roman" w:eastAsia="宋体" w:cs="Times New Roman"/>
                <w:b w:val="0"/>
                <w:bCs w:val="0"/>
                <w:color w:val="auto"/>
                <w:sz w:val="24"/>
                <w:szCs w:val="24"/>
                <w:lang w:val="en-US" w:eastAsia="zh-CN"/>
              </w:rPr>
              <w:t>施工机构、施工力量及施工组织</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成立指挥部，负责该项目的建设，对全线施工计划、进度、质量、财务、外购材料、施工机具设备、施工技术、竣工验收及工程决算进行统一管理；充分发挥地方各级部门优势，参与组织民工、自采材料的开采运输供应、三通一平等相关环节的配合与协调。</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为保证按期优质施工，选择和组织具有相关技术实力、施工经验的施工队伍进场施工。重点和关键工程（穿越河流等）尽早开工，充分利用工期，对工程实施进行缜密组织和科学管理。</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cs="Times New Roman"/>
                <w:b w:val="0"/>
                <w:bCs w:val="0"/>
                <w:color w:val="auto"/>
                <w:sz w:val="24"/>
                <w:szCs w:val="24"/>
                <w:lang w:val="en-US" w:eastAsia="zh-CN"/>
              </w:rPr>
              <w:t>②</w:t>
            </w:r>
            <w:r>
              <w:rPr>
                <w:rFonts w:hint="eastAsia" w:ascii="Times New Roman" w:hAnsi="Times New Roman" w:eastAsia="宋体" w:cs="Times New Roman"/>
                <w:b w:val="0"/>
                <w:bCs w:val="0"/>
                <w:color w:val="auto"/>
                <w:sz w:val="24"/>
                <w:szCs w:val="24"/>
                <w:lang w:val="en-US" w:eastAsia="zh-CN"/>
              </w:rPr>
              <w:t>准备工作</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管道开挖施工应充分注意当地水网和农田水利设施，不能影响泄洪、排涝和农田灌溉。材料运输以汽车为主，材料运输车采取蓬盖、密闭等措施。</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cs="Times New Roman"/>
                <w:b w:val="0"/>
                <w:bCs w:val="0"/>
                <w:color w:val="auto"/>
                <w:sz w:val="24"/>
                <w:szCs w:val="24"/>
                <w:lang w:val="en-US" w:eastAsia="zh-CN"/>
              </w:rPr>
              <w:t>③</w:t>
            </w:r>
            <w:r>
              <w:rPr>
                <w:rFonts w:hint="eastAsia" w:ascii="Times New Roman" w:hAnsi="Times New Roman" w:eastAsia="宋体" w:cs="Times New Roman"/>
                <w:b w:val="0"/>
                <w:bCs w:val="0"/>
                <w:color w:val="auto"/>
                <w:sz w:val="24"/>
                <w:szCs w:val="24"/>
                <w:lang w:val="en-US" w:eastAsia="zh-CN"/>
              </w:rPr>
              <w:t>路面恢复</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根据道路等级与技术要求，遵循因地制宜、合理选材、方便施工、利于养护的原则，对路面恢复进行综合设计，以达到技术经济合理，安全舒适的目的。路面结构应按土基和垫层稳定，基层有足够强度，面层有较高抗疲劳、抗变形和抗滑能力等要求设计。结合现状道路情况，具体路面结构设计不低于现状道路标准等级。路基填筑时，填方路基应优先选用级配较好、力学指标较高的山皮土、碎石土、砾石土、风化岩等粗粒料作为路基填料；路基填料应取样并进行击实，以确定是否满足强度要求；严禁使用泥炭、淤泥、冻土、强膨胀土、有机土及易溶盐含量超标的土填筑路基。路床和浸水部分的路堤，不应直接采用粉质土填筑；液限＞50%、塑性指数＞26的细粒土不得直接作为路基填料。</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cs="Times New Roman"/>
                <w:b w:val="0"/>
                <w:bCs w:val="0"/>
                <w:color w:val="auto"/>
                <w:sz w:val="24"/>
                <w:szCs w:val="24"/>
                <w:lang w:val="en-US" w:eastAsia="zh-CN"/>
              </w:rPr>
              <w:t>④</w:t>
            </w:r>
            <w:r>
              <w:rPr>
                <w:rFonts w:hint="eastAsia" w:ascii="Times New Roman" w:hAnsi="Times New Roman" w:eastAsia="宋体" w:cs="Times New Roman"/>
                <w:b w:val="0"/>
                <w:bCs w:val="0"/>
                <w:color w:val="auto"/>
                <w:sz w:val="24"/>
                <w:szCs w:val="24"/>
                <w:lang w:val="en-US" w:eastAsia="zh-CN"/>
              </w:rPr>
              <w:t>雨期施工方案</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cs="Times New Roman"/>
                <w:b w:val="0"/>
                <w:bCs w:val="0"/>
                <w:color w:val="auto"/>
                <w:sz w:val="24"/>
                <w:szCs w:val="24"/>
                <w:lang w:val="en-US" w:eastAsia="zh-CN"/>
              </w:rPr>
              <w:t>a.</w:t>
            </w:r>
            <w:r>
              <w:rPr>
                <w:rFonts w:hint="eastAsia" w:ascii="Times New Roman" w:hAnsi="Times New Roman" w:eastAsia="宋体" w:cs="Times New Roman"/>
                <w:b w:val="0"/>
                <w:bCs w:val="0"/>
                <w:color w:val="auto"/>
                <w:sz w:val="24"/>
                <w:szCs w:val="24"/>
                <w:lang w:val="en-US" w:eastAsia="zh-CN"/>
              </w:rPr>
              <w:t>雨季施工准备：</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360" w:lineRule="auto"/>
              <w:ind w:left="0" w:leftChars="0" w:firstLine="420" w:firstLineChars="0"/>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以预防为主，掌握天气预报和施工主动权。</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360" w:lineRule="auto"/>
              <w:ind w:left="0" w:leftChars="0" w:firstLine="420" w:firstLineChars="0"/>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工期安排紧凑，集中力量打歼灭战。</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360" w:lineRule="auto"/>
              <w:ind w:left="0" w:leftChars="0" w:firstLine="420" w:firstLineChars="0"/>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作好排水系统，防排结合。</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360" w:lineRule="auto"/>
              <w:ind w:left="0" w:leftChars="0" w:firstLine="420" w:firstLineChars="0"/>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准备好防雨物质，如棚布、罩棚。</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360" w:lineRule="auto"/>
              <w:ind w:left="0" w:leftChars="0" w:firstLine="420" w:firstLineChars="0"/>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加强巡查检查，发现积水、挡水处，及时疏通，道路工程如有损坏，应及时修复。</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cs="Times New Roman"/>
                <w:b w:val="0"/>
                <w:bCs w:val="0"/>
                <w:color w:val="auto"/>
                <w:sz w:val="24"/>
                <w:szCs w:val="24"/>
                <w:lang w:val="en-US" w:eastAsia="zh-CN"/>
              </w:rPr>
              <w:t>b.</w:t>
            </w:r>
            <w:r>
              <w:rPr>
                <w:rFonts w:hint="eastAsia" w:ascii="Times New Roman" w:hAnsi="Times New Roman" w:eastAsia="宋体" w:cs="Times New Roman"/>
                <w:b w:val="0"/>
                <w:bCs w:val="0"/>
                <w:color w:val="auto"/>
                <w:sz w:val="24"/>
                <w:szCs w:val="24"/>
                <w:lang w:val="en-US" w:eastAsia="zh-CN"/>
              </w:rPr>
              <w:t>施工特点及质量控制要求：</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土路基：有计划地集中力量，组织快速施工，分段开挖。切忌全面开花或战线过长，挖方地段要留好横坡，作好截水沟，坚持当天挖完、填完、压完，不留后患。因雨翻浆地段，坚持换料重填。路基填土施工，应按2%~4%以上横坡整平压实，以防积水。</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基层：对稳定材料基层，应坚持拌多少、铺多少、压多少。下雨来不及完成时，也要碾压 1~2 遍，防止雨水渗透。</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面层：沥青面层不允许下雨或下层潮湿时施工，雨期应缩短施工长度，加强工地现场与沥青拌和厂联系，应作到及时摊铺、及时碾压完成；水泥混凝土路面施工时， 搅拌站要搭遮阳棚，工作现场要支搭简易、轻便工作罩棚，以便下雨时继续完成。雨期作业工序要紧密衔接，应及时浇注、振动、抹面、养生。</w:t>
            </w:r>
          </w:p>
          <w:p>
            <w:pPr>
              <w:autoSpaceDE w:val="0"/>
              <w:autoSpaceDN w:val="0"/>
              <w:adjustRightInd w:val="0"/>
              <w:spacing w:line="360" w:lineRule="auto"/>
              <w:ind w:firstLine="480" w:firstLineChars="200"/>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⑤回填方案</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360" w:lineRule="auto"/>
              <w:ind w:left="0" w:leftChars="0" w:firstLine="420" w:firstLineChars="0"/>
              <w:textAlignment w:val="auto"/>
              <w:rPr>
                <w:color w:val="auto"/>
                <w:sz w:val="24"/>
              </w:rPr>
            </w:pPr>
            <w:r>
              <w:rPr>
                <w:rFonts w:hint="eastAsia" w:ascii="Times New Roman" w:hAnsi="Times New Roman" w:eastAsia="宋体" w:cs="Times New Roman"/>
                <w:b w:val="0"/>
                <w:bCs w:val="0"/>
                <w:color w:val="auto"/>
                <w:sz w:val="24"/>
                <w:szCs w:val="24"/>
                <w:lang w:val="en-US" w:eastAsia="zh-CN"/>
              </w:rPr>
              <w:t>回填土中不得含有碎砖、石块、大于100mm的冻土块及其他杂物；</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360" w:lineRule="auto"/>
              <w:ind w:left="0" w:leftChars="0" w:firstLine="420" w:firstLineChars="0"/>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回填压实应不得影响管道和结构的安全管顶或结构顶以上500mm范围内应采用人工实，不得采用动力夯实机或压力机压实；</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360" w:lineRule="auto"/>
              <w:ind w:left="0" w:leftChars="0" w:firstLine="420" w:firstLineChars="0"/>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回填时，要求两侧同时回填，以防管道中心线偏移，回填要求分层实,人工实每层 200~250mm平板机械夯实每层250~300mm,回填密度应符合下列设计规定：</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360" w:lineRule="auto"/>
              <w:ind w:left="0" w:leftChars="0" w:firstLine="420" w:firstLineChars="0"/>
              <w:textAlignment w:val="auto"/>
              <w:rPr>
                <w:rFonts w:hint="eastAsia"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胸腔部位不应小于95%；</w:t>
            </w:r>
          </w:p>
          <w:p>
            <w:pPr>
              <w:keepNext w:val="0"/>
              <w:keepLines w:val="0"/>
              <w:pageBreakBefore w:val="0"/>
              <w:widowControl w:val="0"/>
              <w:numPr>
                <w:ilvl w:val="0"/>
                <w:numId w:val="1"/>
              </w:numPr>
              <w:kinsoku/>
              <w:wordWrap/>
              <w:overflowPunct/>
              <w:topLinePunct w:val="0"/>
              <w:autoSpaceDE w:val="0"/>
              <w:autoSpaceDN w:val="0"/>
              <w:bidi w:val="0"/>
              <w:adjustRightInd w:val="0"/>
              <w:snapToGrid/>
              <w:spacing w:line="360" w:lineRule="auto"/>
              <w:ind w:left="0" w:leftChars="0" w:firstLine="420" w:firstLineChars="0"/>
              <w:textAlignment w:val="auto"/>
              <w:rPr>
                <w:rFonts w:hint="default" w:ascii="Times New Roman" w:hAnsi="Times New Roman" w:eastAsia="宋体"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管顶或结构顶上500mm 范围内不应小于87%</w:t>
            </w:r>
          </w:p>
          <w:p>
            <w:pPr>
              <w:keepNext w:val="0"/>
              <w:keepLines w:val="0"/>
              <w:pageBreakBefore w:val="0"/>
              <w:widowControl w:val="0"/>
              <w:numPr>
                <w:ilvl w:val="0"/>
                <w:numId w:val="0"/>
              </w:numPr>
              <w:kinsoku/>
              <w:wordWrap/>
              <w:overflowPunct/>
              <w:topLinePunct w:val="0"/>
              <w:autoSpaceDE w:val="0"/>
              <w:autoSpaceDN w:val="0"/>
              <w:bidi w:val="0"/>
              <w:adjustRightInd w:val="0"/>
              <w:snapToGrid/>
              <w:spacing w:line="360" w:lineRule="auto"/>
              <w:ind w:firstLine="480" w:firstLineChars="200"/>
              <w:textAlignment w:val="auto"/>
              <w:rPr>
                <w:rFonts w:hint="eastAsia" w:cs="Times New Roman"/>
                <w:b w:val="0"/>
                <w:bCs w:val="0"/>
                <w:color w:val="auto"/>
                <w:sz w:val="24"/>
                <w:szCs w:val="24"/>
                <w:lang w:val="en-US" w:eastAsia="zh-CN"/>
              </w:rPr>
            </w:pPr>
            <w:r>
              <w:rPr>
                <w:rFonts w:hint="eastAsia" w:ascii="Times New Roman" w:hAnsi="Times New Roman" w:eastAsia="宋体" w:cs="Times New Roman"/>
                <w:b w:val="0"/>
                <w:bCs w:val="0"/>
                <w:color w:val="auto"/>
                <w:sz w:val="24"/>
                <w:szCs w:val="24"/>
                <w:lang w:val="en-US" w:eastAsia="zh-CN"/>
              </w:rPr>
              <w:t>管道胸腔部位填中砂，填砂范围为沟槽底部至保温管顶以上 200mm，其他部位采用中粗砂分层实，加设一套泄漏检测光纤设施，敷设位置为两管底侧下方。</w:t>
            </w:r>
            <w:r>
              <w:rPr>
                <w:rFonts w:hint="eastAsia" w:cs="Times New Roman"/>
                <w:b w:val="0"/>
                <w:bCs w:val="0"/>
                <w:color w:val="auto"/>
                <w:sz w:val="24"/>
                <w:szCs w:val="24"/>
                <w:lang w:val="en-US" w:eastAsia="zh-CN"/>
              </w:rPr>
              <w:t>本项目回填示意图见图4-4。</w:t>
            </w:r>
          </w:p>
          <w:p>
            <w:pPr>
              <w:pStyle w:val="21"/>
              <w:ind w:left="0" w:leftChars="0" w:firstLine="0" w:firstLineChars="0"/>
              <w:jc w:val="center"/>
              <w:rPr>
                <w:color w:val="auto"/>
                <w:sz w:val="20"/>
              </w:rPr>
            </w:pPr>
            <w:r>
              <w:rPr>
                <w:color w:val="auto"/>
                <w:sz w:val="20"/>
              </w:rPr>
              <w:drawing>
                <wp:inline distT="0" distB="0" distL="0" distR="0">
                  <wp:extent cx="3811905" cy="3029585"/>
                  <wp:effectExtent l="0" t="0" r="13335" b="3175"/>
                  <wp:docPr id="1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1.jpeg"/>
                          <pic:cNvPicPr>
                            <a:picLocks noChangeAspect="1"/>
                          </pic:cNvPicPr>
                        </pic:nvPicPr>
                        <pic:blipFill>
                          <a:blip r:embed="rId12" cstate="print"/>
                          <a:stretch>
                            <a:fillRect/>
                          </a:stretch>
                        </pic:blipFill>
                        <pic:spPr>
                          <a:xfrm>
                            <a:off x="0" y="0"/>
                            <a:ext cx="3812189" cy="3029712"/>
                          </a:xfrm>
                          <a:prstGeom prst="rect">
                            <a:avLst/>
                          </a:prstGeom>
                        </pic:spPr>
                      </pic:pic>
                    </a:graphicData>
                  </a:graphic>
                </wp:inline>
              </w:drawing>
            </w:r>
          </w:p>
          <w:p>
            <w:pPr>
              <w:keepNext w:val="0"/>
              <w:keepLines w:val="0"/>
              <w:widowControl/>
              <w:suppressLineNumbers w:val="0"/>
              <w:spacing w:before="0" w:beforeAutospacing="0" w:after="0" w:afterAutospacing="0" w:line="360" w:lineRule="auto"/>
              <w:ind w:right="0"/>
              <w:jc w:val="center"/>
              <w:rPr>
                <w:rFonts w:hint="default"/>
                <w:color w:val="auto"/>
                <w:lang w:val="en-US" w:eastAsia="zh-CN"/>
              </w:rPr>
            </w:pPr>
            <w:r>
              <w:rPr>
                <w:rFonts w:hint="eastAsia" w:ascii="Times New Roman" w:hAnsi="Times New Roman" w:eastAsia="宋体" w:cs="Times New Roman"/>
                <w:b/>
                <w:bCs/>
                <w:color w:val="auto"/>
                <w:sz w:val="24"/>
                <w:lang w:val="en-US" w:eastAsia="zh-CN"/>
              </w:rPr>
              <w:t>图4-3 本项目</w:t>
            </w:r>
            <w:r>
              <w:rPr>
                <w:rFonts w:hint="eastAsia" w:cs="Times New Roman"/>
                <w:b/>
                <w:bCs/>
                <w:color w:val="auto"/>
                <w:sz w:val="24"/>
                <w:lang w:val="en-US" w:eastAsia="zh-CN"/>
              </w:rPr>
              <w:t>回填示意</w:t>
            </w:r>
            <w:r>
              <w:rPr>
                <w:rFonts w:hint="eastAsia" w:ascii="Times New Roman" w:hAnsi="Times New Roman" w:eastAsia="宋体" w:cs="Times New Roman"/>
                <w:b/>
                <w:bCs/>
                <w:color w:val="auto"/>
                <w:sz w:val="24"/>
                <w:lang w:val="en-US" w:eastAsia="zh-CN"/>
              </w:rPr>
              <w:t>图</w:t>
            </w:r>
          </w:p>
          <w:p>
            <w:pPr>
              <w:numPr>
                <w:ilvl w:val="0"/>
                <w:numId w:val="0"/>
              </w:numPr>
              <w:spacing w:line="360" w:lineRule="auto"/>
              <w:ind w:leftChars="200"/>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4、工程占地及平面布置：</w:t>
            </w:r>
          </w:p>
          <w:p>
            <w:pPr>
              <w:autoSpaceDE w:val="0"/>
              <w:autoSpaceDN w:val="0"/>
              <w:adjustRightInd w:val="0"/>
              <w:spacing w:line="360" w:lineRule="auto"/>
              <w:ind w:firstLine="480" w:firstLineChars="200"/>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本项目为管道工程，工程施工工场布置</w:t>
            </w:r>
            <w:r>
              <w:rPr>
                <w:rFonts w:hint="eastAsia" w:cs="Times New Roman"/>
                <w:color w:val="auto"/>
                <w:sz w:val="24"/>
                <w:szCs w:val="24"/>
                <w:lang w:val="en-US" w:eastAsia="zh-CN"/>
              </w:rPr>
              <w:t>遵循</w:t>
            </w:r>
            <w:r>
              <w:rPr>
                <w:rFonts w:hint="eastAsia" w:ascii="Times New Roman" w:hAnsi="Times New Roman" w:eastAsia="宋体" w:cs="Times New Roman"/>
                <w:color w:val="auto"/>
                <w:sz w:val="24"/>
                <w:szCs w:val="24"/>
                <w:lang w:val="en-US" w:eastAsia="zh-CN"/>
              </w:rPr>
              <w:t>方便施工、占地少、节省投资、兼顾全局、突出重点的原则。</w:t>
            </w:r>
            <w:r>
              <w:rPr>
                <w:rFonts w:hint="eastAsia" w:cs="Times New Roman"/>
                <w:color w:val="auto"/>
                <w:sz w:val="24"/>
                <w:szCs w:val="24"/>
                <w:lang w:val="en-US" w:eastAsia="zh-CN"/>
              </w:rPr>
              <w:t>本项目在施工期间</w:t>
            </w:r>
            <w:r>
              <w:rPr>
                <w:rFonts w:hint="eastAsia" w:ascii="Times New Roman" w:hAnsi="Times New Roman" w:eastAsia="宋体" w:cs="Times New Roman"/>
                <w:color w:val="auto"/>
                <w:sz w:val="24"/>
                <w:szCs w:val="24"/>
                <w:lang w:val="en-US" w:eastAsia="zh-CN"/>
              </w:rPr>
              <w:t>对施工各项永久和临时设施统筹安排，合理布置，并做好施工各阶段的相互协调，紧密衔接，保证工程顺利实施完成。施工按片区分段进行，采用分段集中布置方式进行施工布置。施工现场原则不设施工营地，本项目在各工程段沿线施工布置区，依托施工沿线道路一侧空地、荒草地等作为施工材料和施工机械临时停放场，项目采取分段施工，施工期短，工完场清，施工结束后，对施工场地进行全面整地并撒播草籽绿化，恢复原貌。</w:t>
            </w:r>
          </w:p>
          <w:p>
            <w:pPr>
              <w:pStyle w:val="21"/>
              <w:rPr>
                <w:rFonts w:hint="default"/>
                <w:color w:val="auto"/>
              </w:rPr>
            </w:pPr>
          </w:p>
          <w:p>
            <w:pPr>
              <w:rPr>
                <w:rFonts w:hint="default"/>
                <w:color w:val="auto"/>
              </w:rPr>
            </w:pPr>
          </w:p>
          <w:p>
            <w:pPr>
              <w:pStyle w:val="21"/>
              <w:rPr>
                <w:rFonts w:hint="default"/>
                <w:color w:val="auto"/>
              </w:rPr>
            </w:pPr>
          </w:p>
          <w:p>
            <w:pPr>
              <w:rPr>
                <w:rFonts w:hint="default"/>
                <w:color w:val="auto"/>
              </w:rPr>
            </w:pPr>
          </w:p>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5、</w:t>
            </w:r>
            <w:r>
              <w:rPr>
                <w:rFonts w:hint="eastAsia" w:eastAsia="宋体"/>
                <w:b/>
                <w:color w:val="auto"/>
                <w:spacing w:val="0"/>
                <w:w w:val="100"/>
                <w:sz w:val="24"/>
                <w:szCs w:val="24"/>
                <w:lang w:eastAsia="zh-CN"/>
              </w:rPr>
              <w:t>工程环境保护投资：</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cs="Times New Roman"/>
                <w:color w:val="auto"/>
                <w:sz w:val="24"/>
                <w:highlight w:val="none"/>
              </w:rPr>
            </w:pPr>
            <w:r>
              <w:rPr>
                <w:rFonts w:hint="default" w:ascii="Times New Roman" w:hAnsi="Times New Roman" w:cs="Times New Roman"/>
                <w:color w:val="auto"/>
                <w:sz w:val="24"/>
                <w:highlight w:val="none"/>
              </w:rPr>
              <w:t>本项目</w:t>
            </w:r>
            <w:r>
              <w:rPr>
                <w:rFonts w:hint="eastAsia" w:cs="Times New Roman"/>
                <w:color w:val="auto"/>
                <w:sz w:val="24"/>
                <w:highlight w:val="none"/>
                <w:lang w:eastAsia="zh-CN"/>
              </w:rPr>
              <w:t>总投资</w:t>
            </w:r>
            <w:r>
              <w:rPr>
                <w:rFonts w:hint="eastAsia" w:cs="Times New Roman"/>
                <w:color w:val="auto"/>
                <w:sz w:val="24"/>
                <w:highlight w:val="none"/>
                <w:lang w:val="en-US" w:eastAsia="zh-CN"/>
              </w:rPr>
              <w:t>21168万元，其中</w:t>
            </w:r>
            <w:r>
              <w:rPr>
                <w:rFonts w:hint="default" w:ascii="Times New Roman" w:hAnsi="Times New Roman" w:cs="Times New Roman"/>
                <w:color w:val="auto"/>
                <w:sz w:val="24"/>
                <w:highlight w:val="none"/>
              </w:rPr>
              <w:t>环保投资主要包括施工期污染治理设施、废气、废水处理及绿化投资等治理措施</w:t>
            </w:r>
            <w:r>
              <w:rPr>
                <w:rFonts w:hint="eastAsia" w:cs="Times New Roman"/>
                <w:color w:val="auto"/>
                <w:sz w:val="24"/>
                <w:highlight w:val="none"/>
                <w:lang w:eastAsia="zh-CN"/>
              </w:rPr>
              <w:t>，</w:t>
            </w:r>
            <w:r>
              <w:rPr>
                <w:rFonts w:hint="eastAsia" w:cs="Times New Roman"/>
                <w:color w:val="auto"/>
                <w:sz w:val="24"/>
                <w:highlight w:val="none"/>
                <w:lang w:eastAsia="zh-CN"/>
              </w:rPr>
              <w:t>实际投资金额</w:t>
            </w:r>
            <w:r>
              <w:rPr>
                <w:rFonts w:hint="eastAsia" w:cs="Times New Roman"/>
                <w:color w:val="auto"/>
                <w:sz w:val="24"/>
                <w:highlight w:val="none"/>
                <w:lang w:val="en-US" w:eastAsia="zh-CN"/>
              </w:rPr>
              <w:t>250万元，环保投资占比1.2%</w:t>
            </w:r>
            <w:r>
              <w:rPr>
                <w:rFonts w:hint="eastAsia" w:ascii="Times New Roman" w:hAnsi="Times New Roman" w:cs="Times New Roman"/>
                <w:color w:val="auto"/>
                <w:sz w:val="24"/>
                <w:highlight w:val="none"/>
                <w:lang w:eastAsia="zh-CN"/>
              </w:rPr>
              <w:t>。</w:t>
            </w:r>
            <w:r>
              <w:rPr>
                <w:rFonts w:hint="default" w:ascii="Times New Roman" w:hAnsi="Times New Roman" w:cs="Times New Roman"/>
                <w:color w:val="auto"/>
                <w:sz w:val="24"/>
                <w:highlight w:val="none"/>
              </w:rPr>
              <w:t>详见表</w:t>
            </w:r>
            <w:r>
              <w:rPr>
                <w:rFonts w:hint="eastAsia" w:cs="Times New Roman"/>
                <w:color w:val="auto"/>
                <w:sz w:val="24"/>
                <w:highlight w:val="none"/>
                <w:lang w:val="en-US" w:eastAsia="zh-CN"/>
              </w:rPr>
              <w:t>4</w:t>
            </w:r>
            <w:r>
              <w:rPr>
                <w:rFonts w:hint="default" w:ascii="Times New Roman" w:hAnsi="Times New Roman" w:cs="Times New Roman"/>
                <w:color w:val="auto"/>
                <w:sz w:val="24"/>
                <w:highlight w:val="none"/>
              </w:rPr>
              <w:t>-</w:t>
            </w:r>
            <w:r>
              <w:rPr>
                <w:rFonts w:hint="eastAsia" w:ascii="Times New Roman" w:hAnsi="Times New Roman" w:cs="Times New Roman"/>
                <w:color w:val="auto"/>
                <w:sz w:val="24"/>
                <w:highlight w:val="none"/>
                <w:lang w:val="en-US" w:eastAsia="zh-CN"/>
              </w:rPr>
              <w:t>2</w:t>
            </w:r>
            <w:r>
              <w:rPr>
                <w:rFonts w:hint="default" w:ascii="Times New Roman" w:hAnsi="Times New Roman" w:cs="Times New Roman"/>
                <w:color w:val="auto"/>
                <w:sz w:val="24"/>
                <w:highlight w:val="none"/>
              </w:rPr>
              <w:t>。</w:t>
            </w:r>
          </w:p>
          <w:p>
            <w:pPr>
              <w:keepNext w:val="0"/>
              <w:keepLines w:val="0"/>
              <w:suppressLineNumbers w:val="0"/>
              <w:adjustRightInd w:val="0"/>
              <w:spacing w:before="0" w:beforeAutospacing="0" w:after="0" w:afterAutospacing="0" w:line="360" w:lineRule="auto"/>
              <w:ind w:left="0" w:right="0"/>
              <w:jc w:val="center"/>
              <w:rPr>
                <w:rFonts w:hint="default" w:ascii="Times New Roman" w:hAnsi="Times New Roman" w:cs="Times New Roman"/>
                <w:b/>
                <w:color w:val="auto"/>
                <w:sz w:val="24"/>
                <w:highlight w:val="none"/>
              </w:rPr>
            </w:pPr>
            <w:r>
              <w:rPr>
                <w:rFonts w:hint="default" w:ascii="Times New Roman" w:hAnsi="Times New Roman" w:cs="Times New Roman"/>
                <w:b/>
                <w:color w:val="auto"/>
                <w:sz w:val="24"/>
                <w:highlight w:val="none"/>
              </w:rPr>
              <w:t>表</w:t>
            </w:r>
            <w:r>
              <w:rPr>
                <w:rFonts w:hint="eastAsia" w:cs="Times New Roman"/>
                <w:b/>
                <w:color w:val="auto"/>
                <w:sz w:val="24"/>
                <w:highlight w:val="none"/>
                <w:lang w:val="en-US" w:eastAsia="zh-CN"/>
              </w:rPr>
              <w:t>4</w:t>
            </w:r>
            <w:r>
              <w:rPr>
                <w:rFonts w:hint="default" w:ascii="Times New Roman" w:hAnsi="Times New Roman" w:cs="Times New Roman"/>
                <w:b/>
                <w:color w:val="auto"/>
                <w:sz w:val="24"/>
                <w:highlight w:val="none"/>
              </w:rPr>
              <w:t>-</w:t>
            </w:r>
            <w:r>
              <w:rPr>
                <w:rFonts w:hint="eastAsia" w:ascii="Times New Roman" w:hAnsi="Times New Roman" w:cs="Times New Roman"/>
                <w:b/>
                <w:color w:val="auto"/>
                <w:sz w:val="24"/>
                <w:highlight w:val="none"/>
                <w:lang w:val="en-US" w:eastAsia="zh-CN"/>
              </w:rPr>
              <w:t>2</w:t>
            </w:r>
            <w:r>
              <w:rPr>
                <w:rFonts w:hint="default" w:ascii="Times New Roman" w:hAnsi="Times New Roman" w:cs="Times New Roman"/>
                <w:b/>
                <w:color w:val="auto"/>
                <w:sz w:val="24"/>
                <w:highlight w:val="none"/>
              </w:rPr>
              <w:t xml:space="preserve"> 项目环保投资估算表</w:t>
            </w:r>
          </w:p>
          <w:tbl>
            <w:tblPr>
              <w:tblStyle w:val="22"/>
              <w:tblW w:w="4995" w:type="pct"/>
              <w:jc w:val="center"/>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Layout w:type="autofit"/>
              <w:tblCellMar>
                <w:top w:w="0" w:type="dxa"/>
                <w:left w:w="108" w:type="dxa"/>
                <w:bottom w:w="0" w:type="dxa"/>
                <w:right w:w="108" w:type="dxa"/>
              </w:tblCellMar>
            </w:tblPr>
            <w:tblGrid>
              <w:gridCol w:w="1696"/>
              <w:gridCol w:w="4784"/>
              <w:gridCol w:w="1730"/>
              <w:gridCol w:w="1388"/>
            </w:tblGrid>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CellMar>
                  <w:top w:w="0" w:type="dxa"/>
                  <w:left w:w="108" w:type="dxa"/>
                  <w:bottom w:w="0" w:type="dxa"/>
                  <w:right w:w="108" w:type="dxa"/>
                </w:tblCellMar>
              </w:tblPrEx>
              <w:trPr>
                <w:tblHeader/>
                <w:jc w:val="center"/>
              </w:trPr>
              <w:tc>
                <w:tcPr>
                  <w:tcW w:w="883" w:type="pct"/>
                  <w:tcBorders>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项目</w:t>
                  </w:r>
                </w:p>
              </w:tc>
              <w:tc>
                <w:tcPr>
                  <w:tcW w:w="2491" w:type="pct"/>
                  <w:tcBorders>
                    <w:left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b/>
                      <w:bCs/>
                      <w:color w:val="auto"/>
                      <w:sz w:val="21"/>
                      <w:szCs w:val="21"/>
                      <w:highlight w:val="none"/>
                    </w:rPr>
                  </w:pPr>
                  <w:r>
                    <w:rPr>
                      <w:rFonts w:hint="default" w:ascii="Times New Roman" w:hAnsi="Times New Roman" w:cs="Times New Roman"/>
                      <w:b/>
                      <w:bCs/>
                      <w:color w:val="auto"/>
                      <w:sz w:val="21"/>
                      <w:szCs w:val="21"/>
                      <w:highlight w:val="none"/>
                    </w:rPr>
                    <w:t>内容</w:t>
                  </w:r>
                </w:p>
              </w:tc>
              <w:tc>
                <w:tcPr>
                  <w:tcW w:w="901" w:type="pct"/>
                  <w:tcBorders>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环评阶段</w:t>
                  </w:r>
                </w:p>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eastAsia="宋体" w:cs="Times New Roman"/>
                      <w:b/>
                      <w:bCs/>
                      <w:color w:val="auto"/>
                      <w:sz w:val="21"/>
                      <w:szCs w:val="21"/>
                      <w:highlight w:val="green"/>
                      <w:lang w:eastAsia="zh-CN"/>
                    </w:rPr>
                  </w:pPr>
                  <w:r>
                    <w:rPr>
                      <w:rFonts w:hint="default" w:ascii="Times New Roman" w:hAnsi="Times New Roman" w:cs="Times New Roman"/>
                      <w:b/>
                      <w:bCs/>
                      <w:color w:val="auto"/>
                      <w:sz w:val="21"/>
                      <w:szCs w:val="21"/>
                      <w:highlight w:val="none"/>
                    </w:rPr>
                    <w:t>投资</w:t>
                  </w:r>
                  <w:r>
                    <w:rPr>
                      <w:rFonts w:hint="eastAsia" w:ascii="Times New Roman" w:hAnsi="Times New Roman" w:cs="Times New Roman"/>
                      <w:b/>
                      <w:bCs/>
                      <w:color w:val="auto"/>
                      <w:sz w:val="21"/>
                      <w:szCs w:val="21"/>
                      <w:highlight w:val="none"/>
                      <w:lang w:eastAsia="zh-CN"/>
                    </w:rPr>
                    <w:t>额（万元）</w:t>
                  </w:r>
                </w:p>
              </w:tc>
              <w:tc>
                <w:tcPr>
                  <w:tcW w:w="723" w:type="pct"/>
                  <w:tcBorders>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eastAsia="宋体" w:cs="Times New Roman"/>
                      <w:b/>
                      <w:bCs/>
                      <w:color w:val="auto"/>
                      <w:sz w:val="21"/>
                      <w:szCs w:val="21"/>
                      <w:highlight w:val="none"/>
                      <w:lang w:eastAsia="zh-CN"/>
                    </w:rPr>
                  </w:pPr>
                  <w:r>
                    <w:rPr>
                      <w:rFonts w:hint="eastAsia" w:ascii="Times New Roman" w:hAnsi="Times New Roman" w:cs="Times New Roman"/>
                      <w:b/>
                      <w:bCs/>
                      <w:color w:val="auto"/>
                      <w:sz w:val="21"/>
                      <w:szCs w:val="21"/>
                      <w:highlight w:val="none"/>
                      <w:lang w:eastAsia="zh-CN"/>
                    </w:rPr>
                    <w:t>实际投资额（万元）</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CellMar>
                  <w:top w:w="0" w:type="dxa"/>
                  <w:left w:w="108" w:type="dxa"/>
                  <w:bottom w:w="0" w:type="dxa"/>
                  <w:right w:w="108" w:type="dxa"/>
                </w:tblCellMar>
              </w:tblPrEx>
              <w:trPr>
                <w:tblHeader/>
                <w:jc w:val="center"/>
              </w:trPr>
              <w:tc>
                <w:tcPr>
                  <w:tcW w:w="883" w:type="pct"/>
                  <w:vMerge w:val="restart"/>
                  <w:tcBorders>
                    <w:top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eastAsia="宋体" w:cs="Times New Roman"/>
                      <w:color w:val="auto"/>
                      <w:sz w:val="21"/>
                      <w:szCs w:val="21"/>
                      <w:highlight w:val="none"/>
                      <w:lang w:eastAsia="zh-CN"/>
                    </w:rPr>
                  </w:pPr>
                  <w:r>
                    <w:rPr>
                      <w:rFonts w:hint="eastAsia" w:cs="Times New Roman"/>
                      <w:color w:val="auto"/>
                      <w:sz w:val="21"/>
                      <w:szCs w:val="21"/>
                      <w:highlight w:val="none"/>
                      <w:lang w:eastAsia="zh-CN"/>
                    </w:rPr>
                    <w:t>废气治理</w:t>
                  </w:r>
                </w:p>
              </w:tc>
              <w:tc>
                <w:tcPr>
                  <w:tcW w:w="2491" w:type="pct"/>
                  <w:tcBorders>
                    <w:top w:val="single" w:color="auto" w:sz="6" w:space="0"/>
                    <w:left w:val="single" w:color="auto" w:sz="6" w:space="0"/>
                    <w:bottom w:val="single" w:color="auto" w:sz="6" w:space="0"/>
                    <w:right w:val="single" w:color="auto" w:sz="6" w:space="0"/>
                  </w:tcBorders>
                  <w:noWrap w:val="0"/>
                  <w:vAlign w:val="top"/>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cs="Times New Roman"/>
                      <w:color w:val="auto"/>
                      <w:sz w:val="21"/>
                      <w:szCs w:val="21"/>
                      <w:highlight w:val="none"/>
                      <w:lang w:eastAsia="zh-CN"/>
                    </w:rPr>
                  </w:pPr>
                  <w:r>
                    <w:rPr>
                      <w:rFonts w:hint="eastAsia" w:cs="Times New Roman"/>
                      <w:color w:val="auto"/>
                      <w:sz w:val="21"/>
                      <w:szCs w:val="21"/>
                      <w:highlight w:val="none"/>
                      <w:lang w:eastAsia="zh-CN"/>
                    </w:rPr>
                    <w:t>洒水逸尘</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CellMar>
                  <w:top w:w="0" w:type="dxa"/>
                  <w:left w:w="108" w:type="dxa"/>
                  <w:bottom w:w="0" w:type="dxa"/>
                  <w:right w:w="108" w:type="dxa"/>
                </w:tblCellMar>
              </w:tblPrEx>
              <w:trPr>
                <w:tblHeader/>
                <w:jc w:val="center"/>
              </w:trPr>
              <w:tc>
                <w:tcPr>
                  <w:tcW w:w="883" w:type="pct"/>
                  <w:vMerge w:val="continue"/>
                  <w:tcBorders>
                    <w:bottom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cs="Times New Roman"/>
                      <w:color w:val="auto"/>
                      <w:sz w:val="21"/>
                      <w:szCs w:val="21"/>
                      <w:highlight w:val="none"/>
                      <w:lang w:eastAsia="zh-CN"/>
                    </w:rPr>
                  </w:pPr>
                </w:p>
              </w:tc>
              <w:tc>
                <w:tcPr>
                  <w:tcW w:w="2491" w:type="pct"/>
                  <w:tcBorders>
                    <w:top w:val="single" w:color="auto" w:sz="6" w:space="0"/>
                    <w:left w:val="single" w:color="auto" w:sz="6" w:space="0"/>
                    <w:bottom w:val="single" w:color="auto" w:sz="6" w:space="0"/>
                    <w:right w:val="single" w:color="auto" w:sz="6" w:space="0"/>
                  </w:tcBorders>
                  <w:noWrap w:val="0"/>
                  <w:vAlign w:val="top"/>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cs="Times New Roman"/>
                      <w:color w:val="auto"/>
                      <w:sz w:val="21"/>
                      <w:szCs w:val="21"/>
                      <w:highlight w:val="none"/>
                      <w:lang w:eastAsia="zh-CN"/>
                    </w:rPr>
                  </w:pPr>
                  <w:r>
                    <w:rPr>
                      <w:rFonts w:hint="eastAsia" w:cs="Times New Roman"/>
                      <w:color w:val="auto"/>
                      <w:sz w:val="21"/>
                      <w:szCs w:val="21"/>
                      <w:highlight w:val="none"/>
                      <w:lang w:eastAsia="zh-CN"/>
                    </w:rPr>
                    <w:t>帆布遮盖、施工围栏等</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20</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CellMar>
                  <w:top w:w="0" w:type="dxa"/>
                  <w:left w:w="108" w:type="dxa"/>
                  <w:bottom w:w="0" w:type="dxa"/>
                  <w:right w:w="108" w:type="dxa"/>
                </w:tblCellMar>
              </w:tblPrEx>
              <w:trPr>
                <w:jc w:val="center"/>
              </w:trPr>
              <w:tc>
                <w:tcPr>
                  <w:tcW w:w="883" w:type="pct"/>
                  <w:vMerge w:val="restart"/>
                  <w:tcBorders>
                    <w:top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cs="Times New Roman"/>
                      <w:color w:val="auto"/>
                      <w:sz w:val="21"/>
                      <w:szCs w:val="21"/>
                      <w:highlight w:val="none"/>
                      <w:lang w:eastAsia="zh-CN"/>
                    </w:rPr>
                    <w:t>噪声治理</w:t>
                  </w:r>
                </w:p>
              </w:tc>
              <w:tc>
                <w:tcPr>
                  <w:tcW w:w="2491" w:type="pct"/>
                  <w:tcBorders>
                    <w:top w:val="single" w:color="auto" w:sz="6" w:space="0"/>
                    <w:left w:val="single" w:color="auto" w:sz="6" w:space="0"/>
                    <w:bottom w:val="single" w:color="auto" w:sz="6" w:space="0"/>
                    <w:right w:val="single" w:color="auto" w:sz="6" w:space="0"/>
                  </w:tcBorders>
                  <w:noWrap w:val="0"/>
                  <w:vAlign w:val="top"/>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cs="Times New Roman"/>
                      <w:color w:val="auto"/>
                      <w:sz w:val="21"/>
                      <w:szCs w:val="21"/>
                      <w:highlight w:val="none"/>
                      <w:lang w:eastAsia="zh-CN"/>
                    </w:rPr>
                  </w:pPr>
                  <w:r>
                    <w:rPr>
                      <w:rFonts w:hint="eastAsia" w:cs="Times New Roman"/>
                      <w:color w:val="auto"/>
                      <w:sz w:val="21"/>
                      <w:szCs w:val="21"/>
                      <w:highlight w:val="none"/>
                      <w:lang w:eastAsia="zh-CN"/>
                    </w:rPr>
                    <w:t>设备减振降噪、施工机械保养</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CellMar>
                  <w:top w:w="0" w:type="dxa"/>
                  <w:left w:w="108" w:type="dxa"/>
                  <w:bottom w:w="0" w:type="dxa"/>
                  <w:right w:w="108" w:type="dxa"/>
                </w:tblCellMar>
              </w:tblPrEx>
              <w:trPr>
                <w:jc w:val="center"/>
              </w:trPr>
              <w:tc>
                <w:tcPr>
                  <w:tcW w:w="883" w:type="pct"/>
                  <w:vMerge w:val="continue"/>
                  <w:tcBorders>
                    <w:bottom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cs="Times New Roman"/>
                      <w:color w:val="auto"/>
                      <w:sz w:val="21"/>
                      <w:szCs w:val="21"/>
                      <w:highlight w:val="none"/>
                      <w:lang w:eastAsia="zh-CN"/>
                    </w:rPr>
                  </w:pPr>
                </w:p>
              </w:tc>
              <w:tc>
                <w:tcPr>
                  <w:tcW w:w="2491" w:type="pct"/>
                  <w:tcBorders>
                    <w:top w:val="single" w:color="auto" w:sz="6" w:space="0"/>
                    <w:left w:val="single" w:color="auto" w:sz="6" w:space="0"/>
                    <w:bottom w:val="single" w:color="auto" w:sz="6" w:space="0"/>
                    <w:right w:val="single" w:color="auto" w:sz="6" w:space="0"/>
                  </w:tcBorders>
                  <w:noWrap w:val="0"/>
                  <w:vAlign w:val="top"/>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cs="Times New Roman"/>
                      <w:color w:val="auto"/>
                      <w:sz w:val="21"/>
                      <w:szCs w:val="21"/>
                      <w:highlight w:val="none"/>
                      <w:lang w:eastAsia="zh-CN"/>
                    </w:rPr>
                  </w:pPr>
                  <w:r>
                    <w:rPr>
                      <w:rFonts w:hint="eastAsia" w:cs="Times New Roman"/>
                      <w:color w:val="auto"/>
                      <w:sz w:val="21"/>
                      <w:szCs w:val="21"/>
                      <w:highlight w:val="none"/>
                      <w:lang w:eastAsia="zh-CN"/>
                    </w:rPr>
                    <w:t>临时隔声屏障（围栏）</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CellMar>
                  <w:top w:w="0" w:type="dxa"/>
                  <w:left w:w="108" w:type="dxa"/>
                  <w:bottom w:w="0" w:type="dxa"/>
                  <w:right w:w="108" w:type="dxa"/>
                </w:tblCellMar>
              </w:tblPrEx>
              <w:trPr>
                <w:jc w:val="center"/>
              </w:trPr>
              <w:tc>
                <w:tcPr>
                  <w:tcW w:w="883" w:type="pct"/>
                  <w:tcBorders>
                    <w:top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eastAsia="宋体" w:cs="Times New Roman"/>
                      <w:color w:val="auto"/>
                      <w:sz w:val="21"/>
                      <w:szCs w:val="21"/>
                      <w:highlight w:val="none"/>
                      <w:lang w:eastAsia="zh-CN"/>
                    </w:rPr>
                  </w:pPr>
                  <w:r>
                    <w:rPr>
                      <w:rFonts w:hint="default" w:ascii="Times New Roman" w:hAnsi="Times New Roman" w:cs="Times New Roman"/>
                      <w:color w:val="auto"/>
                      <w:sz w:val="21"/>
                      <w:szCs w:val="21"/>
                      <w:highlight w:val="none"/>
                    </w:rPr>
                    <w:t>固废</w:t>
                  </w:r>
                  <w:r>
                    <w:rPr>
                      <w:rFonts w:hint="eastAsia" w:ascii="Times New Roman" w:hAnsi="Times New Roman" w:cs="Times New Roman"/>
                      <w:color w:val="auto"/>
                      <w:sz w:val="21"/>
                      <w:szCs w:val="21"/>
                      <w:highlight w:val="none"/>
                      <w:lang w:eastAsia="zh-CN"/>
                    </w:rPr>
                    <w:t>治理</w:t>
                  </w:r>
                </w:p>
              </w:tc>
              <w:tc>
                <w:tcPr>
                  <w:tcW w:w="2491" w:type="pct"/>
                  <w:tcBorders>
                    <w:top w:val="single" w:color="auto" w:sz="6" w:space="0"/>
                    <w:left w:val="single" w:color="auto" w:sz="6" w:space="0"/>
                    <w:bottom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cs="Times New Roman"/>
                      <w:color w:val="auto"/>
                      <w:sz w:val="21"/>
                      <w:szCs w:val="21"/>
                      <w:highlight w:val="none"/>
                      <w:lang w:eastAsia="zh-CN"/>
                    </w:rPr>
                  </w:pPr>
                  <w:r>
                    <w:rPr>
                      <w:rFonts w:hint="eastAsia" w:cs="Times New Roman"/>
                      <w:color w:val="auto"/>
                      <w:sz w:val="21"/>
                      <w:szCs w:val="21"/>
                      <w:highlight w:val="none"/>
                      <w:lang w:val="en-US" w:eastAsia="zh-CN"/>
                    </w:rPr>
                    <w:t>生活垃圾清运</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CellMar>
                  <w:top w:w="0" w:type="dxa"/>
                  <w:left w:w="108" w:type="dxa"/>
                  <w:bottom w:w="0" w:type="dxa"/>
                  <w:right w:w="108" w:type="dxa"/>
                </w:tblCellMar>
              </w:tblPrEx>
              <w:trPr>
                <w:trHeight w:val="282" w:hRule="atLeast"/>
                <w:jc w:val="center"/>
              </w:trPr>
              <w:tc>
                <w:tcPr>
                  <w:tcW w:w="883" w:type="pct"/>
                  <w:tcBorders>
                    <w:top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生态保护</w:t>
                  </w:r>
                </w:p>
              </w:tc>
              <w:tc>
                <w:tcPr>
                  <w:tcW w:w="2491" w:type="pct"/>
                  <w:tcBorders>
                    <w:top w:val="single" w:color="auto" w:sz="6" w:space="0"/>
                    <w:left w:val="single" w:color="auto" w:sz="6" w:space="0"/>
                    <w:bottom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cs="Times New Roman"/>
                      <w:color w:val="auto"/>
                      <w:sz w:val="21"/>
                      <w:szCs w:val="21"/>
                      <w:highlight w:val="none"/>
                      <w:lang w:val="en-US" w:eastAsia="zh-CN"/>
                    </w:rPr>
                  </w:pPr>
                  <w:r>
                    <w:rPr>
                      <w:rFonts w:hint="eastAsia" w:cs="Times New Roman"/>
                      <w:color w:val="auto"/>
                      <w:sz w:val="21"/>
                      <w:szCs w:val="21"/>
                      <w:highlight w:val="none"/>
                      <w:lang w:eastAsia="zh-CN"/>
                    </w:rPr>
                    <w:t>场地恢复、绿化、水土保持工程等措施</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100</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CellMar>
                  <w:top w:w="0" w:type="dxa"/>
                  <w:left w:w="108" w:type="dxa"/>
                  <w:bottom w:w="0" w:type="dxa"/>
                  <w:right w:w="108" w:type="dxa"/>
                </w:tblCellMar>
              </w:tblPrEx>
              <w:trPr>
                <w:trHeight w:val="282" w:hRule="atLeast"/>
                <w:jc w:val="center"/>
              </w:trPr>
              <w:tc>
                <w:tcPr>
                  <w:tcW w:w="883" w:type="pct"/>
                  <w:tcBorders>
                    <w:top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环境监测</w:t>
                  </w:r>
                </w:p>
              </w:tc>
              <w:tc>
                <w:tcPr>
                  <w:tcW w:w="2491" w:type="pct"/>
                  <w:tcBorders>
                    <w:top w:val="single" w:color="auto" w:sz="6" w:space="0"/>
                    <w:left w:val="single" w:color="auto" w:sz="6" w:space="0"/>
                    <w:bottom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cs="Times New Roman"/>
                      <w:color w:val="auto"/>
                      <w:sz w:val="21"/>
                      <w:szCs w:val="21"/>
                      <w:highlight w:val="none"/>
                      <w:lang w:eastAsia="zh-CN"/>
                    </w:rPr>
                  </w:pPr>
                  <w:r>
                    <w:rPr>
                      <w:rFonts w:hint="eastAsia" w:cs="Times New Roman"/>
                      <w:color w:val="auto"/>
                      <w:sz w:val="21"/>
                      <w:szCs w:val="21"/>
                      <w:highlight w:val="none"/>
                      <w:lang w:eastAsia="zh-CN"/>
                    </w:rPr>
                    <w:t>施工期大气环境、噪声等监测</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50</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CellMar>
                  <w:top w:w="0" w:type="dxa"/>
                  <w:left w:w="108" w:type="dxa"/>
                  <w:bottom w:w="0" w:type="dxa"/>
                  <w:right w:w="108" w:type="dxa"/>
                </w:tblCellMar>
              </w:tblPrEx>
              <w:trPr>
                <w:trHeight w:val="282" w:hRule="atLeast"/>
                <w:jc w:val="center"/>
              </w:trPr>
              <w:tc>
                <w:tcPr>
                  <w:tcW w:w="883" w:type="pct"/>
                  <w:tcBorders>
                    <w:top w:val="single" w:color="auto" w:sz="6" w:space="0"/>
                    <w:bottom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ascii="Times New Roman" w:hAnsi="Times New Roman" w:cs="Times New Roman"/>
                      <w:color w:val="auto"/>
                      <w:sz w:val="21"/>
                      <w:szCs w:val="21"/>
                      <w:highlight w:val="none"/>
                      <w:lang w:eastAsia="zh-CN"/>
                    </w:rPr>
                  </w:pPr>
                  <w:r>
                    <w:rPr>
                      <w:rFonts w:hint="eastAsia" w:ascii="Times New Roman" w:hAnsi="Times New Roman" w:cs="Times New Roman"/>
                      <w:color w:val="auto"/>
                      <w:sz w:val="21"/>
                      <w:szCs w:val="21"/>
                      <w:highlight w:val="none"/>
                      <w:lang w:eastAsia="zh-CN"/>
                    </w:rPr>
                    <w:t>其他</w:t>
                  </w:r>
                </w:p>
              </w:tc>
              <w:tc>
                <w:tcPr>
                  <w:tcW w:w="2491" w:type="pct"/>
                  <w:tcBorders>
                    <w:top w:val="single" w:color="auto" w:sz="6" w:space="0"/>
                    <w:left w:val="single" w:color="auto" w:sz="6" w:space="0"/>
                    <w:bottom w:val="single" w:color="auto" w:sz="6" w:space="0"/>
                    <w:right w:val="single" w:color="auto" w:sz="6" w:space="0"/>
                  </w:tcBorders>
                  <w:noWrap w:val="0"/>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eastAsia" w:cs="Times New Roman"/>
                      <w:color w:val="auto"/>
                      <w:sz w:val="21"/>
                      <w:szCs w:val="21"/>
                      <w:highlight w:val="none"/>
                      <w:lang w:eastAsia="zh-CN"/>
                    </w:rPr>
                  </w:pPr>
                  <w:r>
                    <w:rPr>
                      <w:rFonts w:hint="eastAsia" w:cs="Times New Roman"/>
                      <w:color w:val="auto"/>
                      <w:sz w:val="21"/>
                      <w:szCs w:val="21"/>
                      <w:highlight w:val="none"/>
                      <w:lang w:eastAsia="zh-CN"/>
                    </w:rPr>
                    <w:t>环境管理人员培训、环境保护宣传、环境保护设计及其他咨询费等</w:t>
                  </w:r>
                </w:p>
              </w:tc>
              <w:tc>
                <w:tcPr>
                  <w:tcW w:w="901"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w:t>
                  </w:r>
                </w:p>
              </w:tc>
              <w:tc>
                <w:tcPr>
                  <w:tcW w:w="723" w:type="pct"/>
                  <w:tcBorders>
                    <w:top w:val="single" w:color="auto" w:sz="6" w:space="0"/>
                    <w:left w:val="single" w:color="auto" w:sz="6" w:space="0"/>
                    <w:bottom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15</w:t>
                  </w:r>
                </w:p>
              </w:tc>
            </w:tr>
            <w:tr>
              <w:tblPrEx>
                <w:tblBorders>
                  <w:top w:val="single" w:color="000000" w:sz="12" w:space="0"/>
                  <w:left w:val="single" w:color="000000" w:sz="12" w:space="0"/>
                  <w:bottom w:val="single" w:color="000000" w:sz="12" w:space="0"/>
                  <w:right w:val="single" w:color="000000" w:sz="12" w:space="0"/>
                  <w:insideH w:val="single" w:color="auto" w:sz="6" w:space="0"/>
                  <w:insideV w:val="single" w:color="auto" w:sz="6" w:space="0"/>
                </w:tblBorders>
                <w:tblCellMar>
                  <w:top w:w="0" w:type="dxa"/>
                  <w:left w:w="108" w:type="dxa"/>
                  <w:bottom w:w="0" w:type="dxa"/>
                  <w:right w:w="108" w:type="dxa"/>
                </w:tblCellMar>
              </w:tblPrEx>
              <w:trPr>
                <w:jc w:val="center"/>
              </w:trPr>
              <w:tc>
                <w:tcPr>
                  <w:tcW w:w="883" w:type="pct"/>
                  <w:tcBorders>
                    <w:top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rPr>
                  </w:pPr>
                  <w:r>
                    <w:rPr>
                      <w:rFonts w:hint="default" w:ascii="Times New Roman" w:hAnsi="Times New Roman" w:cs="Times New Roman"/>
                      <w:color w:val="auto"/>
                      <w:sz w:val="21"/>
                      <w:szCs w:val="21"/>
                      <w:highlight w:val="none"/>
                    </w:rPr>
                    <w:t>合计</w:t>
                  </w:r>
                </w:p>
              </w:tc>
              <w:tc>
                <w:tcPr>
                  <w:tcW w:w="2491" w:type="pct"/>
                  <w:tcBorders>
                    <w:top w:val="single" w:color="auto" w:sz="6" w:space="0"/>
                    <w:left w:val="single" w:color="auto" w:sz="6" w:space="0"/>
                    <w:righ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cs="Times New Roman"/>
                      <w:color w:val="auto"/>
                      <w:sz w:val="21"/>
                      <w:szCs w:val="21"/>
                      <w:highlight w:val="none"/>
                      <w:lang w:val="en-US" w:eastAsia="zh-CN"/>
                    </w:rPr>
                  </w:pPr>
                  <w:r>
                    <w:rPr>
                      <w:rFonts w:hint="default" w:ascii="Times New Roman" w:hAnsi="Times New Roman" w:cs="Times New Roman"/>
                      <w:color w:val="auto"/>
                      <w:sz w:val="21"/>
                      <w:szCs w:val="21"/>
                      <w:highlight w:val="none"/>
                      <w:lang w:val="en-US" w:eastAsia="zh-CN"/>
                    </w:rPr>
                    <w:t>——</w:t>
                  </w:r>
                </w:p>
              </w:tc>
              <w:tc>
                <w:tcPr>
                  <w:tcW w:w="901" w:type="pct"/>
                  <w:tcBorders>
                    <w:top w:val="single" w:color="auto" w:sz="6" w:space="0"/>
                    <w:lef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250</w:t>
                  </w:r>
                </w:p>
              </w:tc>
              <w:tc>
                <w:tcPr>
                  <w:tcW w:w="723" w:type="pct"/>
                  <w:tcBorders>
                    <w:top w:val="single" w:color="auto" w:sz="6" w:space="0"/>
                    <w:left w:val="single" w:color="auto" w:sz="6" w:space="0"/>
                  </w:tcBorders>
                  <w:noWrap w:val="0"/>
                  <w:vAlign w:val="center"/>
                </w:tcPr>
                <w:p>
                  <w:pPr>
                    <w:pStyle w:val="19"/>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240" w:lineRule="auto"/>
                    <w:ind w:left="0" w:leftChars="0" w:right="0"/>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250</w:t>
                  </w:r>
                </w:p>
              </w:tc>
            </w:tr>
          </w:tbl>
          <w:p>
            <w:pPr>
              <w:pStyle w:val="21"/>
              <w:ind w:left="0" w:leftChars="0" w:firstLine="0" w:firstLineChars="0"/>
              <w:rPr>
                <w:rFonts w:hint="default"/>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eastAsia" w:ascii="Times New Roman" w:hAnsi="Times New Roman" w:eastAsia="宋体" w:cs="Times New Roman"/>
                <w:b/>
                <w:color w:val="auto"/>
                <w:spacing w:val="0"/>
                <w:w w:val="100"/>
                <w:sz w:val="24"/>
                <w:szCs w:val="24"/>
                <w:lang w:val="en-US" w:eastAsia="zh-CN"/>
              </w:rPr>
            </w:pPr>
            <w:r>
              <w:rPr>
                <w:rFonts w:hint="eastAsia" w:ascii="Times New Roman" w:hAnsi="Times New Roman" w:eastAsia="宋体" w:cs="Times New Roman"/>
                <w:b/>
                <w:color w:val="auto"/>
                <w:spacing w:val="0"/>
                <w:w w:val="100"/>
                <w:sz w:val="24"/>
                <w:szCs w:val="24"/>
                <w:lang w:val="en-US" w:eastAsia="zh-CN"/>
              </w:rPr>
              <w:t>6、</w:t>
            </w:r>
            <w:r>
              <w:rPr>
                <w:rFonts w:hint="eastAsia" w:ascii="Times New Roman" w:hAnsi="Times New Roman" w:eastAsia="宋体" w:cs="Times New Roman"/>
                <w:b/>
                <w:color w:val="auto"/>
                <w:spacing w:val="0"/>
                <w:w w:val="100"/>
                <w:sz w:val="24"/>
                <w:szCs w:val="24"/>
                <w:lang w:eastAsia="zh-CN"/>
              </w:rPr>
              <w:t>与项目有关的生态破坏和污染物排放、主要环境问题及环境保护措施</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（1）施工期主要污染工序</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1、废气</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lang w:eastAsia="zh-CN"/>
              </w:rPr>
              <w:t>本项目施工期废气主要是扬尘（</w:t>
            </w:r>
            <w:r>
              <w:rPr>
                <w:rFonts w:hint="eastAsia" w:ascii="Times New Roman" w:hAnsi="Times New Roman" w:eastAsia="宋体" w:cs="Times New Roman"/>
                <w:color w:val="auto"/>
                <w:sz w:val="24"/>
                <w:highlight w:val="none"/>
                <w:lang w:val="en-US" w:eastAsia="zh-CN"/>
              </w:rPr>
              <w:t>TSP</w:t>
            </w:r>
            <w:r>
              <w:rPr>
                <w:rFonts w:hint="eastAsia" w:ascii="Times New Roman" w:hAnsi="Times New Roman" w:eastAsia="宋体" w:cs="Times New Roman"/>
                <w:color w:val="auto"/>
                <w:sz w:val="24"/>
                <w:highlight w:val="none"/>
                <w:lang w:eastAsia="zh-CN"/>
              </w:rPr>
              <w:t>）和燃油废气，主要污染因子为</w:t>
            </w:r>
            <w:r>
              <w:rPr>
                <w:rFonts w:hint="eastAsia" w:ascii="Times New Roman" w:hAnsi="Times New Roman" w:eastAsia="宋体" w:cs="Times New Roman"/>
                <w:color w:val="auto"/>
                <w:sz w:val="24"/>
                <w:highlight w:val="none"/>
              </w:rPr>
              <w:t>CO、NOx和THC</w:t>
            </w:r>
            <w:r>
              <w:rPr>
                <w:rFonts w:hint="eastAsia" w:ascii="Times New Roman" w:hAnsi="Times New Roman" w:eastAsia="宋体" w:cs="Times New Roman"/>
                <w:color w:val="auto"/>
                <w:sz w:val="24"/>
                <w:highlight w:val="none"/>
                <w:lang w:eastAsia="zh-CN"/>
              </w:rPr>
              <w:t>等，扬尘主要来源于土方挖掘填埋作业、物料运输车辆作业</w:t>
            </w:r>
            <w:r>
              <w:rPr>
                <w:rFonts w:hint="eastAsia" w:cs="Times New Roman"/>
                <w:color w:val="auto"/>
                <w:sz w:val="24"/>
                <w:highlight w:val="none"/>
                <w:lang w:eastAsia="zh-CN"/>
              </w:rPr>
              <w:t>等</w:t>
            </w:r>
            <w:r>
              <w:rPr>
                <w:rFonts w:hint="eastAsia" w:ascii="Times New Roman" w:hAnsi="Times New Roman" w:eastAsia="宋体" w:cs="Times New Roman"/>
                <w:color w:val="auto"/>
                <w:sz w:val="24"/>
                <w:highlight w:val="none"/>
                <w:lang w:eastAsia="zh-CN"/>
              </w:rPr>
              <w:t>，燃油废气主要来源于运输车辆及工程动力设备运转产生</w:t>
            </w:r>
            <w:r>
              <w:rPr>
                <w:rFonts w:hint="eastAsia" w:cs="Times New Roman"/>
                <w:color w:val="auto"/>
                <w:sz w:val="24"/>
                <w:highlight w:val="none"/>
                <w:lang w:eastAsia="zh-CN"/>
              </w:rPr>
              <w:t>。</w:t>
            </w:r>
            <w:r>
              <w:rPr>
                <w:rFonts w:hint="eastAsia" w:cs="Times New Roman"/>
                <w:color w:val="auto"/>
                <w:sz w:val="24"/>
                <w:highlight w:val="none"/>
                <w:lang w:eastAsia="zh-CN"/>
              </w:rPr>
              <w:t>按照要求，本项目在</w:t>
            </w:r>
            <w:r>
              <w:rPr>
                <w:rFonts w:hint="eastAsia" w:ascii="Times New Roman" w:hAnsi="Times New Roman" w:eastAsia="宋体" w:cs="Times New Roman"/>
                <w:color w:val="auto"/>
                <w:sz w:val="24"/>
                <w:highlight w:val="none"/>
                <w:lang w:eastAsia="zh-CN"/>
              </w:rPr>
              <w:t>施工过程中</w:t>
            </w:r>
            <w:r>
              <w:rPr>
                <w:rFonts w:hint="default" w:ascii="Times New Roman" w:hAnsi="Times New Roman" w:eastAsia="宋体" w:cs="Times New Roman"/>
                <w:color w:val="auto"/>
                <w:sz w:val="24"/>
                <w:highlight w:val="none"/>
                <w:lang w:eastAsia="zh-CN"/>
              </w:rPr>
              <w:t>配备并规范使用</w:t>
            </w:r>
            <w:r>
              <w:rPr>
                <w:rFonts w:hint="eastAsia" w:cs="Times New Roman"/>
                <w:color w:val="auto"/>
                <w:sz w:val="24"/>
                <w:highlight w:val="none"/>
                <w:lang w:eastAsia="zh-CN"/>
              </w:rPr>
              <w:t>移动焊烟净化器，并</w:t>
            </w:r>
            <w:r>
              <w:rPr>
                <w:rFonts w:hint="eastAsia" w:ascii="Times New Roman" w:hAnsi="Times New Roman" w:eastAsia="宋体" w:cs="Times New Roman"/>
                <w:color w:val="auto"/>
                <w:sz w:val="24"/>
                <w:highlight w:val="none"/>
                <w:lang w:eastAsia="zh-CN"/>
              </w:rPr>
              <w:t>通过</w:t>
            </w:r>
            <w:r>
              <w:rPr>
                <w:rFonts w:hint="eastAsia" w:cs="Times New Roman"/>
                <w:color w:val="auto"/>
                <w:sz w:val="24"/>
                <w:highlight w:val="none"/>
                <w:lang w:eastAsia="zh-CN"/>
              </w:rPr>
              <w:t>设置洗车平台、</w:t>
            </w:r>
            <w:r>
              <w:rPr>
                <w:rFonts w:hint="eastAsia" w:ascii="Times New Roman" w:hAnsi="Times New Roman" w:eastAsia="宋体" w:cs="Times New Roman"/>
                <w:color w:val="auto"/>
                <w:sz w:val="24"/>
                <w:highlight w:val="none"/>
                <w:lang w:eastAsia="zh-CN"/>
              </w:rPr>
              <w:t>采取洒水降尘、</w:t>
            </w:r>
            <w:r>
              <w:rPr>
                <w:rFonts w:hint="eastAsia" w:cs="Times New Roman"/>
                <w:color w:val="auto"/>
                <w:sz w:val="24"/>
                <w:highlight w:val="none"/>
                <w:lang w:eastAsia="zh-CN"/>
              </w:rPr>
              <w:t>车辆</w:t>
            </w:r>
            <w:r>
              <w:rPr>
                <w:rFonts w:hint="eastAsia" w:ascii="Times New Roman" w:hAnsi="Times New Roman" w:eastAsia="宋体" w:cs="Times New Roman"/>
                <w:color w:val="auto"/>
                <w:sz w:val="24"/>
                <w:highlight w:val="none"/>
                <w:lang w:eastAsia="zh-CN"/>
              </w:rPr>
              <w:t>篷布遮盖、加水防护等措施</w:t>
            </w:r>
            <w:r>
              <w:rPr>
                <w:rFonts w:hint="eastAsia" w:cs="Times New Roman"/>
                <w:color w:val="auto"/>
                <w:sz w:val="24"/>
                <w:highlight w:val="none"/>
                <w:lang w:eastAsia="zh-CN"/>
              </w:rPr>
              <w:t>；管理方面，通过</w:t>
            </w:r>
            <w:r>
              <w:rPr>
                <w:rFonts w:hint="eastAsia" w:ascii="Times New Roman" w:hAnsi="Times New Roman" w:eastAsia="宋体" w:cs="Times New Roman"/>
                <w:color w:val="auto"/>
                <w:sz w:val="24"/>
                <w:highlight w:val="none"/>
                <w:lang w:eastAsia="zh-CN"/>
              </w:rPr>
              <w:t>加强施工计划、管理等手段等减轻对周围环境的影响</w:t>
            </w:r>
            <w:r>
              <w:rPr>
                <w:rFonts w:hint="default" w:ascii="Times New Roman" w:hAnsi="Times New Roman" w:eastAsia="宋体" w:cs="Times New Roman"/>
                <w:color w:val="auto"/>
                <w:sz w:val="24"/>
                <w:highlight w:val="none"/>
                <w:lang w:eastAsia="zh-CN"/>
              </w:rPr>
              <w:t>。</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2、废水</w:t>
            </w:r>
          </w:p>
          <w:p>
            <w:pPr>
              <w:keepNext w:val="0"/>
              <w:keepLines w:val="0"/>
              <w:suppressLineNumbers w:val="0"/>
              <w:adjustRightInd w:val="0"/>
              <w:spacing w:before="0" w:beforeAutospacing="0" w:after="0" w:afterAutospacing="0" w:line="360" w:lineRule="auto"/>
              <w:ind w:left="0" w:right="0" w:firstLine="480" w:firstLineChars="200"/>
              <w:rPr>
                <w:rFonts w:hint="eastAsia" w:cs="Times New Roman"/>
                <w:color w:val="auto"/>
                <w:sz w:val="24"/>
                <w:highlight w:val="none"/>
                <w:lang w:val="en-US" w:eastAsia="zh-CN"/>
              </w:rPr>
            </w:pPr>
            <w:r>
              <w:rPr>
                <w:rFonts w:hint="eastAsia" w:ascii="Times New Roman" w:hAnsi="Times New Roman" w:eastAsia="宋体" w:cs="Times New Roman"/>
                <w:color w:val="auto"/>
                <w:sz w:val="24"/>
                <w:highlight w:val="none"/>
                <w:lang w:eastAsia="zh-CN"/>
              </w:rPr>
              <w:t>本项目施工期废水主要为生活污水及少量施工废水，主要污染因子为</w:t>
            </w:r>
            <w:r>
              <w:rPr>
                <w:rFonts w:hint="default" w:ascii="Times New Roman" w:hAnsi="Times New Roman" w:eastAsia="宋体" w:cs="Times New Roman"/>
                <w:color w:val="auto"/>
                <w:sz w:val="24"/>
                <w:highlight w:val="none"/>
                <w:lang w:val="en-US" w:eastAsia="zh-CN"/>
              </w:rPr>
              <w:t>COD</w:t>
            </w:r>
            <w:r>
              <w:rPr>
                <w:rFonts w:hint="eastAsia" w:cs="Times New Roman"/>
                <w:color w:val="auto"/>
                <w:sz w:val="24"/>
                <w:highlight w:val="none"/>
                <w:lang w:val="en-US" w:eastAsia="zh-CN"/>
              </w:rPr>
              <w:t>、SS、氨氮</w:t>
            </w:r>
            <w:r>
              <w:rPr>
                <w:rFonts w:hint="eastAsia" w:ascii="Times New Roman" w:hAnsi="Times New Roman" w:eastAsia="宋体" w:cs="Times New Roman"/>
                <w:color w:val="auto"/>
                <w:sz w:val="24"/>
                <w:highlight w:val="none"/>
                <w:lang w:val="en-US" w:eastAsia="zh-CN"/>
              </w:rPr>
              <w:t>。主要来源于施工人员办公和运输车辆清洗及雨水冲刷场地产生</w:t>
            </w:r>
            <w:r>
              <w:rPr>
                <w:rFonts w:hint="eastAsia" w:cs="Times New Roman"/>
                <w:color w:val="auto"/>
                <w:sz w:val="24"/>
                <w:highlight w:val="none"/>
                <w:lang w:val="en-US" w:eastAsia="zh-CN"/>
              </w:rPr>
              <w:t>，生活污水</w:t>
            </w:r>
            <w:r>
              <w:rPr>
                <w:rFonts w:hint="default" w:ascii="Times New Roman" w:hAnsi="Times New Roman" w:eastAsia="宋体" w:cs="Times New Roman"/>
                <w:color w:val="auto"/>
                <w:sz w:val="24"/>
                <w:highlight w:val="none"/>
                <w:lang w:val="en-US" w:eastAsia="zh-CN"/>
              </w:rPr>
              <w:t>采取移动式生态厕所收集后直接外运</w:t>
            </w:r>
            <w:r>
              <w:rPr>
                <w:rFonts w:hint="eastAsia" w:ascii="Times New Roman" w:hAnsi="Times New Roman" w:eastAsia="宋体" w:cs="Times New Roman"/>
                <w:color w:val="auto"/>
                <w:sz w:val="24"/>
                <w:highlight w:val="none"/>
                <w:lang w:val="en-US" w:eastAsia="zh-CN"/>
              </w:rPr>
              <w:t>。</w:t>
            </w:r>
            <w:r>
              <w:rPr>
                <w:rFonts w:hint="eastAsia" w:cs="Times New Roman"/>
                <w:color w:val="auto"/>
                <w:sz w:val="24"/>
                <w:highlight w:val="none"/>
                <w:lang w:val="en-US" w:eastAsia="zh-CN"/>
              </w:rPr>
              <w:t>此外，</w:t>
            </w:r>
            <w:r>
              <w:rPr>
                <w:rFonts w:hint="eastAsia" w:ascii="Times New Roman" w:hAnsi="Times New Roman" w:eastAsia="宋体" w:cs="Times New Roman"/>
                <w:color w:val="auto"/>
                <w:sz w:val="24"/>
                <w:highlight w:val="none"/>
                <w:lang w:val="en-US" w:eastAsia="zh-CN"/>
              </w:rPr>
              <w:t>施工期会产生少量试压废水</w:t>
            </w:r>
            <w:r>
              <w:rPr>
                <w:rFonts w:hint="eastAsia" w:cs="Times New Roman"/>
                <w:color w:val="auto"/>
                <w:sz w:val="24"/>
                <w:highlight w:val="none"/>
                <w:lang w:val="en-US" w:eastAsia="zh-CN"/>
              </w:rPr>
              <w:t>，该水为处理后的软化水，</w:t>
            </w:r>
            <w:r>
              <w:rPr>
                <w:rFonts w:hint="eastAsia" w:cs="Times New Roman"/>
                <w:color w:val="auto"/>
                <w:sz w:val="24"/>
                <w:highlight w:val="none"/>
                <w:lang w:val="en-US" w:eastAsia="zh-CN"/>
              </w:rPr>
              <w:t>试压结束后排入市政管网。</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3、噪声</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lang w:val="en-US" w:eastAsia="zh-CN"/>
              </w:rPr>
              <w:t>本项目施工噪声主要为</w:t>
            </w:r>
            <w:r>
              <w:rPr>
                <w:rFonts w:hint="eastAsia" w:ascii="Times New Roman" w:hAnsi="Times New Roman" w:eastAsia="宋体" w:cs="Times New Roman"/>
                <w:color w:val="auto"/>
                <w:sz w:val="24"/>
                <w:highlight w:val="none"/>
              </w:rPr>
              <w:t>运输土石方及其它建筑材料的载重汽车行驶所产生的噪声</w:t>
            </w:r>
            <w:r>
              <w:rPr>
                <w:rFonts w:hint="eastAsia" w:ascii="Times New Roman" w:hAnsi="Times New Roman" w:eastAsia="宋体" w:cs="Times New Roman"/>
                <w:color w:val="auto"/>
                <w:sz w:val="24"/>
                <w:highlight w:val="none"/>
                <w:lang w:val="en-US" w:eastAsia="zh-CN"/>
              </w:rPr>
              <w:t>，主要来源于</w:t>
            </w:r>
            <w:r>
              <w:rPr>
                <w:rFonts w:hint="eastAsia" w:cs="Times New Roman"/>
                <w:color w:val="auto"/>
                <w:sz w:val="24"/>
                <w:highlight w:val="none"/>
                <w:lang w:val="en-US" w:eastAsia="zh-CN"/>
              </w:rPr>
              <w:t>施工作业机械，如挖掘机、定向牵引钻机、汽车吊和电焊机等设备运转</w:t>
            </w:r>
            <w:r>
              <w:rPr>
                <w:rFonts w:hint="eastAsia" w:ascii="Times New Roman" w:hAnsi="Times New Roman" w:eastAsia="宋体" w:cs="Times New Roman"/>
                <w:color w:val="auto"/>
                <w:sz w:val="24"/>
                <w:highlight w:val="none"/>
                <w:lang w:val="en-US" w:eastAsia="zh-CN"/>
              </w:rPr>
              <w:t>，通过调整施工时间、设置移动式隔声屏障等措施</w:t>
            </w:r>
            <w:r>
              <w:rPr>
                <w:rFonts w:hint="eastAsia" w:ascii="Times New Roman" w:hAnsi="Times New Roman" w:eastAsia="宋体" w:cs="Times New Roman"/>
                <w:color w:val="auto"/>
                <w:sz w:val="24"/>
                <w:highlight w:val="none"/>
                <w:lang w:eastAsia="zh-CN"/>
              </w:rPr>
              <w:t>减轻对周围环境的影响。</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4、固体废物</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w:t>
            </w:r>
            <w:r>
              <w:rPr>
                <w:rFonts w:hint="default" w:ascii="Times New Roman" w:hAnsi="Times New Roman" w:eastAsia="宋体" w:cs="Times New Roman"/>
                <w:color w:val="auto"/>
                <w:sz w:val="24"/>
                <w:highlight w:val="none"/>
                <w:lang w:val="en-US" w:eastAsia="zh-CN"/>
              </w:rPr>
              <w:t>施工期产生的固体废物主要是</w:t>
            </w:r>
            <w:r>
              <w:rPr>
                <w:rFonts w:hint="eastAsia" w:cs="Times New Roman"/>
                <w:color w:val="auto"/>
                <w:sz w:val="24"/>
                <w:highlight w:val="none"/>
                <w:lang w:val="en-US" w:eastAsia="zh-CN"/>
              </w:rPr>
              <w:t>废弃土石方、施工废料和</w:t>
            </w:r>
            <w:r>
              <w:rPr>
                <w:rFonts w:hint="default" w:ascii="Times New Roman" w:hAnsi="Times New Roman" w:eastAsia="宋体" w:cs="Times New Roman"/>
                <w:color w:val="auto"/>
                <w:sz w:val="24"/>
                <w:highlight w:val="none"/>
                <w:lang w:val="en-US" w:eastAsia="zh-CN"/>
              </w:rPr>
              <w:t>生活垃圾。</w:t>
            </w:r>
            <w:r>
              <w:rPr>
                <w:rFonts w:hint="eastAsia" w:ascii="Times New Roman" w:hAnsi="Times New Roman" w:eastAsia="宋体" w:cs="Times New Roman"/>
                <w:color w:val="auto"/>
                <w:sz w:val="24"/>
                <w:highlight w:val="none"/>
                <w:lang w:val="en-US" w:eastAsia="zh-CN"/>
              </w:rPr>
              <w:t>主要来源于施工人员办公及施工过程产生的废弃建材、沥青废渣、包装材料、废抑尘网、沉淀泥浆等，经统一收集后</w:t>
            </w:r>
            <w:r>
              <w:rPr>
                <w:rFonts w:hint="eastAsia" w:cs="Times New Roman"/>
                <w:color w:val="auto"/>
                <w:sz w:val="24"/>
                <w:highlight w:val="none"/>
                <w:lang w:val="en-US" w:eastAsia="zh-CN"/>
              </w:rPr>
              <w:t>外售废旧物资回收部门进行综合利用，生活垃圾</w:t>
            </w:r>
            <w:r>
              <w:rPr>
                <w:rFonts w:hint="eastAsia" w:ascii="Times New Roman" w:hAnsi="Times New Roman" w:eastAsia="宋体" w:cs="Times New Roman"/>
                <w:color w:val="auto"/>
                <w:sz w:val="24"/>
                <w:highlight w:val="none"/>
                <w:lang w:val="en-US" w:eastAsia="zh-CN"/>
              </w:rPr>
              <w:t>由环卫部门统一清运处理。</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5、生态影响</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本项目施工期临时占用</w:t>
            </w:r>
            <w:r>
              <w:rPr>
                <w:rFonts w:hint="eastAsia" w:cs="Times New Roman"/>
                <w:color w:val="auto"/>
                <w:sz w:val="24"/>
                <w:highlight w:val="none"/>
                <w:lang w:val="en-US" w:eastAsia="zh-CN"/>
              </w:rPr>
              <w:t>管道</w:t>
            </w:r>
            <w:r>
              <w:rPr>
                <w:rFonts w:hint="eastAsia" w:ascii="Times New Roman" w:hAnsi="Times New Roman" w:eastAsia="宋体" w:cs="Times New Roman"/>
                <w:color w:val="auto"/>
                <w:sz w:val="24"/>
                <w:highlight w:val="none"/>
                <w:lang w:val="en-US" w:eastAsia="zh-CN"/>
              </w:rPr>
              <w:t>沿线林地、草地及部分道路用地，对生态影响主要表现在</w:t>
            </w:r>
            <w:r>
              <w:rPr>
                <w:rFonts w:hint="default" w:ascii="Times New Roman" w:hAnsi="Times New Roman" w:eastAsia="宋体" w:cs="Times New Roman"/>
                <w:color w:val="auto"/>
                <w:sz w:val="24"/>
                <w:highlight w:val="none"/>
                <w:lang w:val="en-US" w:eastAsia="zh-CN"/>
              </w:rPr>
              <w:t>土地利用方式、生物、水土流失、景观生态等方面。</w:t>
            </w:r>
            <w:r>
              <w:rPr>
                <w:rFonts w:hint="eastAsia" w:ascii="Times New Roman" w:hAnsi="Times New Roman" w:eastAsia="宋体" w:cs="Times New Roman"/>
                <w:color w:val="auto"/>
                <w:sz w:val="24"/>
                <w:highlight w:val="none"/>
                <w:lang w:val="en-US" w:eastAsia="zh-CN"/>
              </w:rPr>
              <w:t>机械化施工会对场地土壤或地表植被造成影响，从而造成占地区域内水土保持功能降低或丧失，由于植被的破坏，对占地区景观环境影响也较大。此外，也对动物的活动区域、觅食范围等造成了阻隔影响，生物多样性也随之降低，导致占地区域的生态平衡遭到破坏。由于</w:t>
            </w:r>
            <w:r>
              <w:rPr>
                <w:rFonts w:hint="eastAsia" w:cs="Times New Roman"/>
                <w:color w:val="auto"/>
                <w:sz w:val="24"/>
                <w:highlight w:val="none"/>
                <w:lang w:val="en-US" w:eastAsia="zh-CN"/>
              </w:rPr>
              <w:t>本项目为</w:t>
            </w:r>
            <w:r>
              <w:rPr>
                <w:rFonts w:hint="eastAsia" w:ascii="Times New Roman" w:hAnsi="Times New Roman" w:eastAsia="宋体" w:cs="Times New Roman"/>
                <w:color w:val="auto"/>
                <w:sz w:val="24"/>
                <w:highlight w:val="none"/>
                <w:lang w:val="en-US" w:eastAsia="zh-CN"/>
              </w:rPr>
              <w:t>供热管线建设，施工过程中造成的影响是暂时的，在土方回填压实后，因施工破坏而影响水土流失的各种因素在各项水土保持措施后逐渐消失，并且随着时间的推移，各项措施的水土保持功能得到发挥，生态环境得到恢复和改善，水土流失量逐渐减少，直至达到新的稳定状态。</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（2）营运期主要污染工序</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本项目主要建设内容为供热管线铺设，主体工程DN1600钢管采用Q355B、Q235B、L290、L360</w:t>
            </w:r>
            <w:r>
              <w:rPr>
                <w:rFonts w:hint="eastAsia" w:cs="Times New Roman"/>
                <w:color w:val="auto"/>
                <w:sz w:val="24"/>
                <w:highlight w:val="none"/>
                <w:lang w:val="en-US" w:eastAsia="zh-CN"/>
              </w:rPr>
              <w:t>等</w:t>
            </w:r>
            <w:r>
              <w:rPr>
                <w:rFonts w:hint="eastAsia" w:ascii="Times New Roman" w:hAnsi="Times New Roman" w:eastAsia="宋体" w:cs="Times New Roman"/>
                <w:color w:val="auto"/>
                <w:sz w:val="24"/>
                <w:highlight w:val="none"/>
                <w:lang w:val="en-US" w:eastAsia="zh-CN"/>
              </w:rPr>
              <w:t>材质，保温层为硬质聚氨酯泡沫塑料，保护层为聚乙烯外护管。项目运营期传输介质为水，运营期无污染产生，不会对地下水及土壤造成污染，对周围环境影响较小。</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综上所述，本次验收不</w:t>
            </w:r>
            <w:r>
              <w:rPr>
                <w:rFonts w:hint="eastAsia" w:ascii="Times New Roman" w:hAnsi="Times New Roman" w:eastAsia="宋体" w:cs="Times New Roman"/>
                <w:color w:val="auto"/>
                <w:sz w:val="24"/>
                <w:highlight w:val="none"/>
                <w:lang w:val="en-US" w:eastAsia="zh-CN"/>
              </w:rPr>
              <w:t>对本项目进行</w:t>
            </w:r>
            <w:r>
              <w:rPr>
                <w:rFonts w:hint="default" w:ascii="Times New Roman" w:hAnsi="Times New Roman" w:eastAsia="宋体" w:cs="Times New Roman"/>
                <w:color w:val="auto"/>
                <w:sz w:val="24"/>
                <w:highlight w:val="none"/>
                <w:lang w:val="en-US" w:eastAsia="zh-CN"/>
              </w:rPr>
              <w:t>环境监测。</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p>
          <w:p>
            <w:pPr>
              <w:pStyle w:val="21"/>
              <w:rPr>
                <w:rFonts w:hint="eastAsia" w:ascii="Times New Roman" w:hAnsi="Times New Roman" w:eastAsia="宋体" w:cs="Times New Roman"/>
                <w:color w:val="auto"/>
                <w:sz w:val="24"/>
                <w:highlight w:val="none"/>
                <w:lang w:val="en-US" w:eastAsia="zh-CN"/>
              </w:rPr>
            </w:pPr>
          </w:p>
          <w:p>
            <w:pPr>
              <w:rPr>
                <w:rFonts w:hint="eastAsia" w:ascii="Times New Roman" w:hAnsi="Times New Roman" w:eastAsia="宋体" w:cs="Times New Roman"/>
                <w:color w:val="auto"/>
                <w:sz w:val="24"/>
                <w:highlight w:val="none"/>
                <w:lang w:val="en-US" w:eastAsia="zh-CN"/>
              </w:rPr>
            </w:pPr>
          </w:p>
          <w:p>
            <w:pPr>
              <w:pStyle w:val="21"/>
              <w:rPr>
                <w:rFonts w:hint="eastAsia" w:ascii="Times New Roman" w:hAnsi="Times New Roman" w:eastAsia="宋体" w:cs="Times New Roman"/>
                <w:color w:val="auto"/>
                <w:sz w:val="24"/>
                <w:highlight w:val="none"/>
                <w:lang w:val="en-US" w:eastAsia="zh-CN"/>
              </w:rPr>
            </w:pPr>
          </w:p>
          <w:p>
            <w:pPr>
              <w:rPr>
                <w:rFonts w:hint="eastAsia" w:ascii="Times New Roman" w:hAnsi="Times New Roman" w:eastAsia="宋体" w:cs="Times New Roman"/>
                <w:color w:val="auto"/>
                <w:sz w:val="24"/>
                <w:highlight w:val="none"/>
                <w:lang w:val="en-US" w:eastAsia="zh-CN"/>
              </w:rPr>
            </w:pPr>
          </w:p>
          <w:p>
            <w:pPr>
              <w:pStyle w:val="21"/>
              <w:rPr>
                <w:rFonts w:hint="eastAsia" w:ascii="Times New Roman" w:hAnsi="Times New Roman" w:eastAsia="宋体" w:cs="Times New Roman"/>
                <w:color w:val="auto"/>
                <w:sz w:val="24"/>
                <w:highlight w:val="none"/>
                <w:lang w:val="en-US" w:eastAsia="zh-CN"/>
              </w:rPr>
            </w:pPr>
          </w:p>
          <w:p>
            <w:pPr>
              <w:rPr>
                <w:rFonts w:hint="eastAsia" w:ascii="Times New Roman" w:hAnsi="Times New Roman" w:eastAsia="宋体" w:cs="Times New Roman"/>
                <w:color w:val="auto"/>
                <w:sz w:val="24"/>
                <w:highlight w:val="none"/>
                <w:lang w:val="en-US" w:eastAsia="zh-CN"/>
              </w:rPr>
            </w:pPr>
          </w:p>
          <w:p>
            <w:pPr>
              <w:pStyle w:val="21"/>
              <w:rPr>
                <w:rFonts w:hint="eastAsia" w:ascii="Times New Roman" w:hAnsi="Times New Roman" w:eastAsia="宋体" w:cs="Times New Roman"/>
                <w:color w:val="auto"/>
                <w:sz w:val="24"/>
                <w:highlight w:val="none"/>
                <w:lang w:val="en-US" w:eastAsia="zh-CN"/>
              </w:rPr>
            </w:pPr>
          </w:p>
          <w:p>
            <w:pPr>
              <w:rPr>
                <w:rFonts w:hint="eastAsia" w:ascii="Times New Roman" w:hAnsi="Times New Roman" w:eastAsia="宋体" w:cs="Times New Roman"/>
                <w:color w:val="auto"/>
                <w:sz w:val="24"/>
                <w:highlight w:val="none"/>
                <w:lang w:val="en-US" w:eastAsia="zh-CN"/>
              </w:rPr>
            </w:pPr>
          </w:p>
          <w:p>
            <w:pPr>
              <w:pStyle w:val="21"/>
              <w:rPr>
                <w:rFonts w:hint="eastAsia" w:ascii="Times New Roman" w:hAnsi="Times New Roman" w:eastAsia="宋体" w:cs="Times New Roman"/>
                <w:color w:val="auto"/>
                <w:sz w:val="24"/>
                <w:highlight w:val="none"/>
                <w:lang w:val="en-US" w:eastAsia="zh-CN"/>
              </w:rPr>
            </w:pPr>
          </w:p>
          <w:p>
            <w:pPr>
              <w:rPr>
                <w:rFonts w:hint="eastAsia" w:ascii="Times New Roman" w:hAnsi="Times New Roman" w:eastAsia="宋体" w:cs="Times New Roman"/>
                <w:color w:val="auto"/>
                <w:sz w:val="24"/>
                <w:highlight w:val="none"/>
                <w:lang w:val="en-US" w:eastAsia="zh-CN"/>
              </w:rPr>
            </w:pPr>
          </w:p>
          <w:p>
            <w:pPr>
              <w:pStyle w:val="21"/>
              <w:rPr>
                <w:rFonts w:hint="eastAsia" w:ascii="Times New Roman" w:hAnsi="Times New Roman" w:eastAsia="宋体" w:cs="Times New Roman"/>
                <w:color w:val="auto"/>
                <w:sz w:val="24"/>
                <w:highlight w:val="none"/>
                <w:lang w:val="en-US" w:eastAsia="zh-CN"/>
              </w:rPr>
            </w:pPr>
          </w:p>
          <w:p>
            <w:pPr>
              <w:pStyle w:val="21"/>
              <w:rPr>
                <w:rFonts w:hint="eastAsia" w:ascii="Times New Roman" w:hAnsi="Times New Roman" w:eastAsia="宋体" w:cs="Times New Roman"/>
                <w:color w:val="auto"/>
                <w:sz w:val="24"/>
                <w:highlight w:val="none"/>
                <w:lang w:val="en-US" w:eastAsia="zh-CN"/>
              </w:rPr>
            </w:pPr>
          </w:p>
          <w:p>
            <w:pPr>
              <w:rPr>
                <w:rFonts w:hint="eastAsia"/>
                <w:color w:val="auto"/>
                <w:lang w:val="en-US" w:eastAsia="zh-CN"/>
              </w:rPr>
            </w:pPr>
          </w:p>
          <w:p>
            <w:pPr>
              <w:pStyle w:val="21"/>
              <w:ind w:left="0" w:leftChars="0" w:firstLine="0" w:firstLineChars="0"/>
              <w:rPr>
                <w:rFonts w:hint="default"/>
                <w:color w:val="auto"/>
              </w:rPr>
            </w:pPr>
          </w:p>
        </w:tc>
      </w:tr>
    </w:tbl>
    <w:p>
      <w:pPr>
        <w:autoSpaceDE w:val="0"/>
        <w:autoSpaceDN w:val="0"/>
        <w:adjustRightInd w:val="0"/>
        <w:jc w:val="center"/>
        <w:rPr>
          <w:rFonts w:hint="eastAsia" w:ascii="Times New Roman" w:hAnsi="Times New Roman" w:eastAsia="宋体" w:cs="Times New Roman"/>
          <w:b/>
          <w:bCs/>
          <w:color w:val="auto"/>
          <w:sz w:val="32"/>
          <w:lang w:eastAsia="zh-CN"/>
        </w:rPr>
      </w:pPr>
      <w:r>
        <w:rPr>
          <w:rFonts w:hint="default" w:ascii="Times New Roman" w:hAnsi="Times New Roman" w:eastAsia="宋体" w:cs="Times New Roman"/>
          <w:b/>
          <w:bCs/>
          <w:color w:val="auto"/>
          <w:sz w:val="32"/>
        </w:rPr>
        <w:t>表 5 环境</w:t>
      </w:r>
      <w:r>
        <w:rPr>
          <w:rFonts w:hint="eastAsia" w:ascii="Times New Roman" w:hAnsi="Times New Roman" w:eastAsia="宋体" w:cs="Times New Roman"/>
          <w:b/>
          <w:bCs/>
          <w:color w:val="auto"/>
          <w:sz w:val="32"/>
          <w:lang w:eastAsia="zh-CN"/>
        </w:rPr>
        <w:t>影响评价回顾</w:t>
      </w:r>
    </w:p>
    <w:tbl>
      <w:tblPr>
        <w:tblStyle w:val="22"/>
        <w:tblW w:w="9796"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796"/>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0" w:hRule="atLeast"/>
          <w:jc w:val="center"/>
        </w:trPr>
        <w:tc>
          <w:tcPr>
            <w:tcW w:w="9796" w:type="dxa"/>
            <w:tcBorders>
              <w:top w:val="single" w:color="000000" w:sz="12" w:space="0"/>
              <w:bottom w:val="single" w:color="000000" w:sz="12" w:space="0"/>
            </w:tcBorders>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jc w:val="both"/>
              <w:textAlignment w:val="auto"/>
              <w:outlineLvl w:val="9"/>
              <w:rPr>
                <w:rFonts w:hint="default" w:ascii="Times New Roman" w:hAnsi="Times New Roman" w:eastAsia="宋体" w:cs="Times New Roman"/>
                <w:b w:val="0"/>
                <w:bCs/>
                <w:color w:val="auto"/>
                <w:spacing w:val="0"/>
                <w:w w:val="100"/>
                <w:sz w:val="24"/>
                <w:szCs w:val="24"/>
                <w:lang w:val="en-US" w:eastAsia="zh-CN"/>
              </w:rPr>
            </w:pPr>
            <w:r>
              <w:rPr>
                <w:rFonts w:hint="default" w:ascii="Times New Roman" w:hAnsi="Times New Roman" w:eastAsia="宋体" w:cs="Times New Roman"/>
                <w:b w:val="0"/>
                <w:bCs/>
                <w:color w:val="auto"/>
                <w:spacing w:val="0"/>
                <w:w w:val="100"/>
                <w:sz w:val="24"/>
                <w:szCs w:val="24"/>
                <w:lang w:val="en-US" w:eastAsia="zh-CN"/>
              </w:rPr>
              <w:t>环境影响评价的主要环境影响预测及结论（生态、声、大气、水等）</w:t>
            </w:r>
          </w:p>
          <w:p>
            <w:pPr>
              <w:keepNext w:val="0"/>
              <w:keepLines w:val="0"/>
              <w:suppressLineNumbers w:val="0"/>
              <w:adjustRightInd w:val="0"/>
              <w:spacing w:before="0" w:beforeAutospacing="0" w:after="0" w:afterAutospacing="0" w:line="360" w:lineRule="auto"/>
              <w:ind w:left="0" w:right="0" w:firstLine="482" w:firstLineChars="200"/>
              <w:rPr>
                <w:rFonts w:hint="eastAsia" w:ascii="Times New Roman" w:hAnsi="Times New Roman" w:eastAsia="宋体" w:cs="Times New Roman"/>
                <w:b/>
                <w:bCs w:val="0"/>
                <w:color w:val="auto"/>
                <w:sz w:val="24"/>
                <w:highlight w:val="none"/>
                <w:lang w:val="en-US" w:eastAsia="zh-CN"/>
              </w:rPr>
            </w:pPr>
            <w:r>
              <w:rPr>
                <w:rFonts w:hint="eastAsia" w:ascii="Times New Roman" w:hAnsi="Times New Roman" w:eastAsia="宋体" w:cs="Times New Roman"/>
                <w:b/>
                <w:bCs w:val="0"/>
                <w:color w:val="auto"/>
                <w:sz w:val="24"/>
                <w:highlight w:val="none"/>
                <w:lang w:val="en-US" w:eastAsia="zh-CN"/>
              </w:rPr>
              <w:t>1、生态环境影响</w:t>
            </w:r>
          </w:p>
          <w:p>
            <w:pPr>
              <w:keepNext w:val="0"/>
              <w:keepLines w:val="0"/>
              <w:suppressLineNumbers w:val="0"/>
              <w:adjustRightInd w:val="0"/>
              <w:spacing w:before="0" w:beforeAutospacing="0" w:after="0" w:afterAutospacing="0" w:line="360" w:lineRule="auto"/>
              <w:ind w:left="0" w:right="0" w:firstLine="468" w:firstLineChars="200"/>
              <w:rPr>
                <w:b w:val="0"/>
                <w:bCs/>
                <w:color w:val="auto"/>
                <w:sz w:val="24"/>
              </w:rPr>
            </w:pPr>
            <w:r>
              <w:rPr>
                <w:b w:val="0"/>
                <w:bCs/>
                <w:color w:val="auto"/>
                <w:spacing w:val="-3"/>
                <w:sz w:val="24"/>
              </w:rPr>
              <w:t>由于该工程为供热管线建设类项目，施工过程中造成的影响是暂时的，在土方回填压实后，因施工破坏而影响水土流失的各种因素在各项水土保持措施</w:t>
            </w:r>
            <w:r>
              <w:rPr>
                <w:b w:val="0"/>
                <w:bCs/>
                <w:color w:val="auto"/>
                <w:spacing w:val="-4"/>
                <w:sz w:val="24"/>
              </w:rPr>
              <w:t>后逐渐消失，并且随着时间的推移，各项措施的水土保持功能得到发挥，生态</w:t>
            </w:r>
            <w:r>
              <w:rPr>
                <w:b w:val="0"/>
                <w:bCs/>
                <w:color w:val="auto"/>
                <w:sz w:val="24"/>
              </w:rPr>
              <w:t>环境得到恢复和改善，水土流失量逐渐减少，直至达到新的稳定状态。</w:t>
            </w:r>
          </w:p>
          <w:p>
            <w:pPr>
              <w:keepNext w:val="0"/>
              <w:keepLines w:val="0"/>
              <w:suppressLineNumbers w:val="0"/>
              <w:adjustRightInd w:val="0"/>
              <w:spacing w:before="0" w:beforeAutospacing="0" w:after="0" w:afterAutospacing="0" w:line="360" w:lineRule="auto"/>
              <w:ind w:left="0" w:right="0" w:firstLine="482" w:firstLineChars="200"/>
              <w:rPr>
                <w:rFonts w:hint="eastAsia" w:ascii="Times New Roman" w:hAnsi="Times New Roman" w:eastAsia="宋体" w:cs="Times New Roman"/>
                <w:b/>
                <w:bCs w:val="0"/>
                <w:color w:val="auto"/>
                <w:sz w:val="24"/>
                <w:highlight w:val="none"/>
                <w:lang w:val="en-US" w:eastAsia="zh-CN"/>
              </w:rPr>
            </w:pPr>
            <w:r>
              <w:rPr>
                <w:rFonts w:hint="eastAsia" w:ascii="Times New Roman" w:hAnsi="Times New Roman" w:eastAsia="宋体" w:cs="Times New Roman"/>
                <w:b/>
                <w:bCs w:val="0"/>
                <w:color w:val="auto"/>
                <w:sz w:val="24"/>
                <w:highlight w:val="none"/>
                <w:lang w:val="en-US" w:eastAsia="zh-CN"/>
              </w:rPr>
              <w:t>2、声环境影响</w:t>
            </w:r>
          </w:p>
          <w:p>
            <w:pPr>
              <w:keepNext w:val="0"/>
              <w:keepLines w:val="0"/>
              <w:suppressLineNumbers w:val="0"/>
              <w:adjustRightInd w:val="0"/>
              <w:spacing w:before="0" w:beforeAutospacing="0" w:after="0" w:afterAutospacing="0" w:line="360" w:lineRule="auto"/>
              <w:ind w:left="0" w:right="0" w:firstLine="464" w:firstLineChars="200"/>
              <w:rPr>
                <w:b w:val="0"/>
                <w:bCs/>
                <w:color w:val="auto"/>
                <w:spacing w:val="-4"/>
                <w:sz w:val="24"/>
              </w:rPr>
            </w:pPr>
            <w:r>
              <w:rPr>
                <w:b w:val="0"/>
                <w:bCs/>
                <w:color w:val="auto"/>
                <w:spacing w:val="-4"/>
                <w:sz w:val="24"/>
              </w:rPr>
              <w:t>施工期噪声主要来源于各类建筑施工机械以及来往运输车辆的噪声，噪声值约为80～90dB（A）。噪声源主要来自施工作业机械，如挖掘机、定向牵引钻机、汽车吊和电焊机等，其强度在 88~95dB(A)</w:t>
            </w:r>
            <w:r>
              <w:rPr>
                <w:rFonts w:hint="eastAsia"/>
                <w:b w:val="0"/>
                <w:bCs/>
                <w:color w:val="auto"/>
                <w:spacing w:val="-4"/>
                <w:sz w:val="24"/>
                <w:lang w:eastAsia="zh-CN"/>
              </w:rPr>
              <w:t>。</w:t>
            </w:r>
            <w:r>
              <w:rPr>
                <w:b w:val="0"/>
                <w:bCs/>
                <w:color w:val="auto"/>
                <w:spacing w:val="-4"/>
                <w:sz w:val="24"/>
              </w:rPr>
              <w:t>施工机械间歇使用，且施工时间较短。主要噪声源为挖掘机、定向牵引钻，从计算结果可以看出：主要机械在40m以外均满足建筑物施工场界昼间噪声限值75dB(A)，而在夜间</w:t>
            </w:r>
            <w:r>
              <w:rPr>
                <w:b w:val="0"/>
                <w:bCs/>
                <w:color w:val="auto"/>
                <w:spacing w:val="-4"/>
                <w:sz w:val="24"/>
              </w:rPr>
              <w:t>若不超过55dB(A)的标准</w:t>
            </w:r>
            <w:r>
              <w:rPr>
                <w:b w:val="0"/>
                <w:bCs/>
                <w:color w:val="auto"/>
                <w:spacing w:val="-4"/>
                <w:sz w:val="24"/>
              </w:rPr>
              <w:t>，其距离要远到200m以上。</w:t>
            </w:r>
          </w:p>
          <w:p>
            <w:pPr>
              <w:keepNext w:val="0"/>
              <w:keepLines w:val="0"/>
              <w:suppressLineNumbers w:val="0"/>
              <w:adjustRightInd w:val="0"/>
              <w:spacing w:before="0" w:beforeAutospacing="0" w:after="0" w:afterAutospacing="0" w:line="360" w:lineRule="auto"/>
              <w:ind w:left="0" w:right="0" w:firstLine="464" w:firstLineChars="200"/>
              <w:rPr>
                <w:b w:val="0"/>
                <w:bCs/>
                <w:color w:val="auto"/>
                <w:spacing w:val="-4"/>
                <w:sz w:val="24"/>
              </w:rPr>
            </w:pPr>
            <w:r>
              <w:rPr>
                <w:b w:val="0"/>
                <w:bCs/>
                <w:color w:val="auto"/>
                <w:spacing w:val="-4"/>
                <w:sz w:val="24"/>
              </w:rPr>
              <w:t>施工一般在白天，采取加隔音板等措施隔声降噪；夜间尽量避免施工活动， 尤其是经过村庄或距离村庄较近时，把对村民的影响降至最低，故对周围环境造成的影响是可以接受的。</w:t>
            </w:r>
          </w:p>
          <w:p>
            <w:pPr>
              <w:keepNext w:val="0"/>
              <w:keepLines w:val="0"/>
              <w:suppressLineNumbers w:val="0"/>
              <w:adjustRightInd w:val="0"/>
              <w:spacing w:before="0" w:beforeAutospacing="0" w:after="0" w:afterAutospacing="0" w:line="360" w:lineRule="auto"/>
              <w:ind w:left="0" w:right="0" w:firstLine="464" w:firstLineChars="200"/>
              <w:rPr>
                <w:b w:val="0"/>
                <w:bCs/>
                <w:color w:val="auto"/>
                <w:spacing w:val="-4"/>
                <w:sz w:val="24"/>
              </w:rPr>
            </w:pPr>
            <w:r>
              <w:rPr>
                <w:b w:val="0"/>
                <w:bCs/>
                <w:color w:val="auto"/>
                <w:spacing w:val="-4"/>
                <w:sz w:val="24"/>
              </w:rPr>
              <w:t>整体来说，管道线路施工产生的噪声对于整个管道而言，将存在于整个施工工程中，而对于某一局部地段来说则为几天，影响时间相对来说较短，也就是说施工期的这些噪声源均是短暂的，只在短时期对局部环境造成影响，待施工结束后这些影响也随之消失。</w:t>
            </w:r>
          </w:p>
          <w:p>
            <w:pPr>
              <w:keepNext w:val="0"/>
              <w:keepLines w:val="0"/>
              <w:suppressLineNumbers w:val="0"/>
              <w:adjustRightInd w:val="0"/>
              <w:spacing w:before="0" w:beforeAutospacing="0" w:after="0" w:afterAutospacing="0" w:line="360" w:lineRule="auto"/>
              <w:ind w:left="0" w:right="0" w:firstLine="482" w:firstLineChars="200"/>
              <w:rPr>
                <w:rFonts w:hint="eastAsia" w:ascii="Times New Roman" w:hAnsi="Times New Roman" w:eastAsia="宋体" w:cs="Times New Roman"/>
                <w:b/>
                <w:bCs w:val="0"/>
                <w:color w:val="auto"/>
                <w:sz w:val="24"/>
                <w:highlight w:val="none"/>
                <w:lang w:val="en-US" w:eastAsia="zh-CN"/>
              </w:rPr>
            </w:pPr>
            <w:r>
              <w:rPr>
                <w:rFonts w:hint="eastAsia" w:ascii="Times New Roman" w:hAnsi="Times New Roman" w:eastAsia="宋体" w:cs="Times New Roman"/>
                <w:b/>
                <w:bCs w:val="0"/>
                <w:color w:val="auto"/>
                <w:sz w:val="24"/>
                <w:highlight w:val="none"/>
                <w:lang w:val="en-US" w:eastAsia="zh-CN"/>
              </w:rPr>
              <w:t>3、大气环境影响</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rFonts w:hint="eastAsia"/>
                <w:b w:val="0"/>
                <w:bCs/>
                <w:color w:val="auto"/>
                <w:spacing w:val="-3"/>
                <w:sz w:val="24"/>
                <w:lang w:eastAsia="zh-CN"/>
              </w:rPr>
              <w:t>（</w:t>
            </w:r>
            <w:r>
              <w:rPr>
                <w:rFonts w:hint="eastAsia"/>
                <w:b w:val="0"/>
                <w:bCs/>
                <w:color w:val="auto"/>
                <w:spacing w:val="-3"/>
                <w:sz w:val="24"/>
                <w:lang w:val="en-US" w:eastAsia="zh-CN"/>
              </w:rPr>
              <w:t>1</w:t>
            </w:r>
            <w:r>
              <w:rPr>
                <w:rFonts w:hint="eastAsia"/>
                <w:b w:val="0"/>
                <w:bCs/>
                <w:color w:val="auto"/>
                <w:spacing w:val="-3"/>
                <w:sz w:val="24"/>
                <w:lang w:eastAsia="zh-CN"/>
              </w:rPr>
              <w:t>）</w:t>
            </w:r>
            <w:r>
              <w:rPr>
                <w:b w:val="0"/>
                <w:bCs/>
                <w:color w:val="auto"/>
                <w:spacing w:val="-3"/>
                <w:sz w:val="24"/>
              </w:rPr>
              <w:t>扬尘影响分析</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施工扬尘使工地周围空气环境 TSP 指标增加，在大风不利气象条件下，施工扬尘影响更为明显，根据类比资料，在风速4.6m/s时，施工扬尘将造成150m 范围内空气 TSP 超过《环境空气质量标准》（GB</w:t>
            </w:r>
            <w:r>
              <w:rPr>
                <w:rFonts w:hint="eastAsia"/>
                <w:b w:val="0"/>
                <w:bCs/>
                <w:color w:val="auto"/>
                <w:spacing w:val="-3"/>
                <w:sz w:val="24"/>
                <w:lang w:val="en-US" w:eastAsia="zh-CN"/>
              </w:rPr>
              <w:t xml:space="preserve"> </w:t>
            </w:r>
            <w:r>
              <w:rPr>
                <w:b w:val="0"/>
                <w:bCs/>
                <w:color w:val="auto"/>
                <w:spacing w:val="-3"/>
                <w:sz w:val="24"/>
              </w:rPr>
              <w:t>3095-2012）二级标准。所以， 在一般情况下，不利天气下扬尘会对周边的环境空气造成影响。</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rFonts w:hint="eastAsia"/>
                <w:b w:val="0"/>
                <w:bCs/>
                <w:color w:val="auto"/>
                <w:spacing w:val="-3"/>
                <w:sz w:val="24"/>
                <w:lang w:eastAsia="zh-CN"/>
              </w:rPr>
              <w:t>（</w:t>
            </w:r>
            <w:r>
              <w:rPr>
                <w:rFonts w:hint="eastAsia"/>
                <w:b w:val="0"/>
                <w:bCs/>
                <w:color w:val="auto"/>
                <w:spacing w:val="-3"/>
                <w:sz w:val="24"/>
                <w:lang w:val="en-US" w:eastAsia="zh-CN"/>
              </w:rPr>
              <w:t>2</w:t>
            </w:r>
            <w:r>
              <w:rPr>
                <w:rFonts w:hint="eastAsia"/>
                <w:b w:val="0"/>
                <w:bCs/>
                <w:color w:val="auto"/>
                <w:spacing w:val="-3"/>
                <w:sz w:val="24"/>
                <w:lang w:eastAsia="zh-CN"/>
              </w:rPr>
              <w:t>）</w:t>
            </w:r>
            <w:r>
              <w:rPr>
                <w:b w:val="0"/>
                <w:bCs/>
                <w:color w:val="auto"/>
                <w:spacing w:val="-3"/>
                <w:sz w:val="24"/>
              </w:rPr>
              <w:t>施工设备尾气</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施工中各种工程机械和运输车辆在燃汽油、柴油时排放的尾气含有 THC、颗粒物、CO、NOx 等大气污染物，排放后会对施工现场有一定影响。</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施工车辆在现场范围内活动，尾气呈面源污染形式，尾气扩散范围有限， 车辆为非连续行驶状态，施工采用分段进行，在每段施工时间有限，污染物排放时间和排放量相对较少，所以不会对周围大气环境有明显影响。</w:t>
            </w:r>
          </w:p>
          <w:p>
            <w:pPr>
              <w:keepNext w:val="0"/>
              <w:keepLines w:val="0"/>
              <w:suppressLineNumbers w:val="0"/>
              <w:adjustRightInd w:val="0"/>
              <w:spacing w:before="0" w:beforeAutospacing="0" w:after="0" w:afterAutospacing="0" w:line="360" w:lineRule="auto"/>
              <w:ind w:left="0" w:right="0" w:firstLine="482" w:firstLineChars="200"/>
              <w:rPr>
                <w:rFonts w:hint="default" w:ascii="Times New Roman" w:hAnsi="Times New Roman" w:eastAsia="宋体" w:cs="Times New Roman"/>
                <w:b/>
                <w:bCs w:val="0"/>
                <w:color w:val="auto"/>
                <w:sz w:val="24"/>
                <w:highlight w:val="none"/>
                <w:lang w:val="en-US" w:eastAsia="zh-CN"/>
              </w:rPr>
            </w:pPr>
            <w:r>
              <w:rPr>
                <w:rFonts w:hint="eastAsia" w:ascii="Times New Roman" w:hAnsi="Times New Roman" w:eastAsia="宋体" w:cs="Times New Roman"/>
                <w:b/>
                <w:bCs w:val="0"/>
                <w:color w:val="auto"/>
                <w:sz w:val="24"/>
                <w:highlight w:val="none"/>
                <w:lang w:val="en-US" w:eastAsia="zh-CN"/>
              </w:rPr>
              <w:t>4、水环境影响</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施工期废水主要为施工人员生活污水、管道试压废水。</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rFonts w:hint="eastAsia"/>
                <w:b w:val="0"/>
                <w:bCs/>
                <w:color w:val="auto"/>
                <w:spacing w:val="-3"/>
                <w:sz w:val="24"/>
                <w:lang w:eastAsia="zh-CN"/>
              </w:rPr>
              <w:t>（</w:t>
            </w:r>
            <w:r>
              <w:rPr>
                <w:rFonts w:hint="eastAsia"/>
                <w:b w:val="0"/>
                <w:bCs/>
                <w:color w:val="auto"/>
                <w:spacing w:val="-3"/>
                <w:sz w:val="24"/>
                <w:lang w:val="en-US" w:eastAsia="zh-CN"/>
              </w:rPr>
              <w:t>1</w:t>
            </w:r>
            <w:r>
              <w:rPr>
                <w:rFonts w:hint="eastAsia"/>
                <w:b w:val="0"/>
                <w:bCs/>
                <w:color w:val="auto"/>
                <w:spacing w:val="-3"/>
                <w:sz w:val="24"/>
                <w:lang w:eastAsia="zh-CN"/>
              </w:rPr>
              <w:t>）</w:t>
            </w:r>
            <w:r>
              <w:rPr>
                <w:b w:val="0"/>
                <w:bCs/>
                <w:color w:val="auto"/>
                <w:spacing w:val="-3"/>
                <w:sz w:val="24"/>
              </w:rPr>
              <w:t>生活污水</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本项目施工期生活污水总量约为1752t/a，COD产生浓度为350mg/L，氨氮产生浓度为 35mg/L，则COD和氨氮产生量分别为0.61t/a和0.06t/a。施工人员产生的生活污水收集后由当地环卫部门清运。同时施工单位应加强管理，强化工人环保意识，禁止施工期生活污水乱倒乱排。</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rFonts w:hint="eastAsia"/>
                <w:b w:val="0"/>
                <w:bCs/>
                <w:color w:val="auto"/>
                <w:spacing w:val="-3"/>
                <w:sz w:val="24"/>
                <w:lang w:eastAsia="zh-CN"/>
              </w:rPr>
              <w:t>（</w:t>
            </w:r>
            <w:r>
              <w:rPr>
                <w:rFonts w:hint="eastAsia"/>
                <w:b w:val="0"/>
                <w:bCs/>
                <w:color w:val="auto"/>
                <w:spacing w:val="-3"/>
                <w:sz w:val="24"/>
                <w:lang w:val="en-US" w:eastAsia="zh-CN"/>
              </w:rPr>
              <w:t>2</w:t>
            </w:r>
            <w:r>
              <w:rPr>
                <w:rFonts w:hint="eastAsia"/>
                <w:b w:val="0"/>
                <w:bCs/>
                <w:color w:val="auto"/>
                <w:spacing w:val="-3"/>
                <w:sz w:val="24"/>
                <w:lang w:eastAsia="zh-CN"/>
              </w:rPr>
              <w:t>）</w:t>
            </w:r>
            <w:r>
              <w:rPr>
                <w:b w:val="0"/>
                <w:bCs/>
                <w:color w:val="auto"/>
                <w:spacing w:val="-3"/>
                <w:sz w:val="24"/>
              </w:rPr>
              <w:t>管道试压废水</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管道试压产生少量废水，试压废水成分简单，主要污染物为悬浮物，经沉淀后用于施工场地冲洗、施工区洒水。施工单位应加强施工期水务管理，减少水的消耗，杜绝施工期产生的污水无组织排放。</w:t>
            </w:r>
          </w:p>
          <w:p>
            <w:pPr>
              <w:keepNext w:val="0"/>
              <w:keepLines w:val="0"/>
              <w:suppressLineNumbers w:val="0"/>
              <w:adjustRightInd w:val="0"/>
              <w:spacing w:before="0" w:beforeAutospacing="0" w:after="0" w:afterAutospacing="0" w:line="360" w:lineRule="auto"/>
              <w:ind w:left="0" w:right="0" w:firstLine="482" w:firstLineChars="200"/>
              <w:rPr>
                <w:rFonts w:hint="eastAsia" w:ascii="Times New Roman" w:hAnsi="Times New Roman" w:eastAsia="宋体" w:cs="Times New Roman"/>
                <w:b/>
                <w:bCs w:val="0"/>
                <w:color w:val="auto"/>
                <w:sz w:val="24"/>
                <w:highlight w:val="none"/>
                <w:lang w:val="en-US" w:eastAsia="zh-CN"/>
              </w:rPr>
            </w:pPr>
            <w:r>
              <w:rPr>
                <w:rFonts w:hint="eastAsia" w:ascii="Times New Roman" w:hAnsi="Times New Roman" w:eastAsia="宋体" w:cs="Times New Roman"/>
                <w:b/>
                <w:bCs w:val="0"/>
                <w:color w:val="auto"/>
                <w:sz w:val="24"/>
                <w:highlight w:val="none"/>
                <w:lang w:val="en-US" w:eastAsia="zh-CN"/>
              </w:rPr>
              <w:t>5、固体废物环境影响</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施工期固废主要为废弃土石方和生活垃圾。</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rFonts w:hint="eastAsia"/>
                <w:b w:val="0"/>
                <w:bCs/>
                <w:color w:val="auto"/>
                <w:spacing w:val="-3"/>
                <w:sz w:val="24"/>
                <w:lang w:eastAsia="zh-CN"/>
              </w:rPr>
              <w:t>（</w:t>
            </w:r>
            <w:r>
              <w:rPr>
                <w:rFonts w:hint="eastAsia"/>
                <w:b w:val="0"/>
                <w:bCs/>
                <w:color w:val="auto"/>
                <w:spacing w:val="-3"/>
                <w:sz w:val="24"/>
                <w:lang w:val="en-US" w:eastAsia="zh-CN"/>
              </w:rPr>
              <w:t>1</w:t>
            </w:r>
            <w:r>
              <w:rPr>
                <w:rFonts w:hint="eastAsia"/>
                <w:b w:val="0"/>
                <w:bCs/>
                <w:color w:val="auto"/>
                <w:spacing w:val="-3"/>
                <w:sz w:val="24"/>
                <w:lang w:eastAsia="zh-CN"/>
              </w:rPr>
              <w:t>）</w:t>
            </w:r>
            <w:r>
              <w:rPr>
                <w:b w:val="0"/>
                <w:bCs/>
                <w:color w:val="auto"/>
                <w:spacing w:val="-3"/>
                <w:sz w:val="24"/>
              </w:rPr>
              <w:t>生活垃圾</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工程管线分段施工，施工人员约120人，每人每天生活垃圾量 0.5kg，则项目施工期间施工人员产生的生活垃圾0.06t/d，生活垃圾收集后，由当地环卫部门清运。</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rFonts w:hint="eastAsia"/>
                <w:b w:val="0"/>
                <w:bCs/>
                <w:color w:val="auto"/>
                <w:spacing w:val="-3"/>
                <w:sz w:val="24"/>
                <w:lang w:eastAsia="zh-CN"/>
              </w:rPr>
              <w:t>（</w:t>
            </w:r>
            <w:r>
              <w:rPr>
                <w:rFonts w:hint="eastAsia"/>
                <w:b w:val="0"/>
                <w:bCs/>
                <w:color w:val="auto"/>
                <w:spacing w:val="-3"/>
                <w:sz w:val="24"/>
                <w:lang w:val="en-US" w:eastAsia="zh-CN"/>
              </w:rPr>
              <w:t>2</w:t>
            </w:r>
            <w:r>
              <w:rPr>
                <w:rFonts w:hint="eastAsia"/>
                <w:b w:val="0"/>
                <w:bCs/>
                <w:color w:val="auto"/>
                <w:spacing w:val="-3"/>
                <w:sz w:val="24"/>
                <w:lang w:eastAsia="zh-CN"/>
              </w:rPr>
              <w:t>）</w:t>
            </w:r>
            <w:r>
              <w:rPr>
                <w:b w:val="0"/>
                <w:bCs/>
                <w:color w:val="auto"/>
                <w:spacing w:val="-3"/>
                <w:sz w:val="24"/>
              </w:rPr>
              <w:t>施工废料</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施工废料主要包括焊接作业中产生废焊条、防腐作业中产生的废防腐材料等。根据类比调查，施工废料的产生量按0.2t/km估算，本项目施工过程中产生的施工废料量约为 0.9t。施工废料可回收利用，外售给物资回收部门。</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rFonts w:hint="eastAsia"/>
                <w:b w:val="0"/>
                <w:bCs/>
                <w:color w:val="auto"/>
                <w:spacing w:val="-3"/>
                <w:sz w:val="24"/>
                <w:lang w:eastAsia="zh-CN"/>
              </w:rPr>
              <w:t>（</w:t>
            </w:r>
            <w:r>
              <w:rPr>
                <w:rFonts w:hint="eastAsia"/>
                <w:b w:val="0"/>
                <w:bCs/>
                <w:color w:val="auto"/>
                <w:spacing w:val="-3"/>
                <w:sz w:val="24"/>
                <w:lang w:val="en-US" w:eastAsia="zh-CN"/>
              </w:rPr>
              <w:t>3</w:t>
            </w:r>
            <w:r>
              <w:rPr>
                <w:rFonts w:hint="eastAsia"/>
                <w:b w:val="0"/>
                <w:bCs/>
                <w:color w:val="auto"/>
                <w:spacing w:val="-3"/>
                <w:sz w:val="24"/>
                <w:lang w:eastAsia="zh-CN"/>
              </w:rPr>
              <w:t>）</w:t>
            </w:r>
            <w:r>
              <w:rPr>
                <w:b w:val="0"/>
                <w:bCs/>
                <w:color w:val="auto"/>
                <w:spacing w:val="-3"/>
                <w:sz w:val="24"/>
              </w:rPr>
              <w:t>施工废弃土方</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本项目管道开挖弃土方全部用于施工沿线附近沟洼地填埋、土地平整。因此，本项目不产生外运弃方，不需要设弃渣场。</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rFonts w:hint="eastAsia"/>
                <w:b w:val="0"/>
                <w:bCs/>
                <w:color w:val="auto"/>
                <w:spacing w:val="-3"/>
                <w:sz w:val="24"/>
                <w:lang w:eastAsia="zh-CN"/>
              </w:rPr>
              <w:t>（</w:t>
            </w:r>
            <w:r>
              <w:rPr>
                <w:rFonts w:hint="eastAsia"/>
                <w:b w:val="0"/>
                <w:bCs/>
                <w:color w:val="auto"/>
                <w:spacing w:val="-3"/>
                <w:sz w:val="24"/>
                <w:lang w:val="en-US" w:eastAsia="zh-CN"/>
              </w:rPr>
              <w:t>4</w:t>
            </w:r>
            <w:r>
              <w:rPr>
                <w:rFonts w:hint="eastAsia"/>
                <w:b w:val="0"/>
                <w:bCs/>
                <w:color w:val="auto"/>
                <w:spacing w:val="-3"/>
                <w:sz w:val="24"/>
                <w:lang w:eastAsia="zh-CN"/>
              </w:rPr>
              <w:t>）</w:t>
            </w:r>
            <w:r>
              <w:rPr>
                <w:b w:val="0"/>
                <w:bCs/>
                <w:color w:val="auto"/>
                <w:spacing w:val="-3"/>
                <w:sz w:val="24"/>
              </w:rPr>
              <w:t>土石方平衡</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在水土保持角度，为保护项目占地中土壤养分丰富的表层熟土层，同时作为项目绿化时用土，需要将必要的熟土层进行表土剥离。根据有关要求，表土剥离时剥离厚度为 0.2-0.3m，项目建设完毕时作为绿化用土回填。</w:t>
            </w:r>
          </w:p>
          <w:p>
            <w:pPr>
              <w:keepNext w:val="0"/>
              <w:keepLines w:val="0"/>
              <w:suppressLineNumbers w:val="0"/>
              <w:adjustRightInd w:val="0"/>
              <w:spacing w:before="0" w:beforeAutospacing="0" w:after="0" w:afterAutospacing="0" w:line="360" w:lineRule="auto"/>
              <w:ind w:left="0" w:right="0" w:firstLine="482" w:firstLineChars="200"/>
              <w:rPr>
                <w:rFonts w:hint="default" w:ascii="Times New Roman" w:hAnsi="Times New Roman" w:eastAsia="宋体" w:cs="Times New Roman"/>
                <w:b/>
                <w:bCs w:val="0"/>
                <w:color w:val="auto"/>
                <w:sz w:val="24"/>
                <w:highlight w:val="none"/>
                <w:lang w:val="en-US" w:eastAsia="zh-CN"/>
              </w:rPr>
            </w:pPr>
            <w:r>
              <w:rPr>
                <w:rFonts w:hint="eastAsia" w:ascii="Times New Roman" w:hAnsi="Times New Roman" w:eastAsia="宋体" w:cs="Times New Roman"/>
                <w:b/>
                <w:bCs w:val="0"/>
                <w:color w:val="auto"/>
                <w:sz w:val="24"/>
                <w:highlight w:val="none"/>
                <w:lang w:val="en-US" w:eastAsia="zh-CN"/>
              </w:rPr>
              <w:t>6、选址选线环境影响</w:t>
            </w:r>
          </w:p>
          <w:p>
            <w:pPr>
              <w:keepNext w:val="0"/>
              <w:keepLines w:val="0"/>
              <w:suppressLineNumbers w:val="0"/>
              <w:adjustRightInd w:val="0"/>
              <w:spacing w:before="0" w:beforeAutospacing="0" w:after="0" w:afterAutospacing="0" w:line="360" w:lineRule="auto"/>
              <w:ind w:left="0" w:right="0" w:firstLine="468" w:firstLineChars="200"/>
              <w:rPr>
                <w:b w:val="0"/>
                <w:bCs/>
                <w:color w:val="auto"/>
                <w:spacing w:val="-3"/>
                <w:sz w:val="24"/>
              </w:rPr>
            </w:pPr>
            <w:r>
              <w:rPr>
                <w:b w:val="0"/>
                <w:bCs/>
                <w:color w:val="auto"/>
                <w:spacing w:val="-3"/>
                <w:sz w:val="24"/>
              </w:rPr>
              <w:t>本项目的建设不存在用地、用水、用材等方面的制约因素；本项目不涉及生态保护红线，不涉及自然保护区、饮用水水源保护区等环境敏感区；本项目周围存在敏感目标，但采取相应措施，施工期对敏感目标影响较小；本项目满足环境管理要求，对外环境影响较小，因此本项目选址基本合理。</w:t>
            </w:r>
          </w:p>
          <w:p>
            <w:pPr>
              <w:keepNext w:val="0"/>
              <w:keepLines w:val="0"/>
              <w:suppressLineNumbers w:val="0"/>
              <w:adjustRightInd w:val="0"/>
              <w:spacing w:before="0" w:beforeAutospacing="0" w:after="0" w:afterAutospacing="0" w:line="360" w:lineRule="auto"/>
              <w:ind w:left="0" w:right="0" w:firstLine="482" w:firstLineChars="200"/>
              <w:rPr>
                <w:rFonts w:hint="default"/>
                <w:b w:val="0"/>
                <w:bCs/>
                <w:color w:val="auto"/>
                <w:lang w:val="en-US" w:eastAsia="zh-CN"/>
              </w:rPr>
            </w:pPr>
            <w:r>
              <w:rPr>
                <w:rFonts w:hint="default" w:ascii="Times New Roman" w:hAnsi="Times New Roman" w:eastAsia="宋体" w:cs="Times New Roman"/>
                <w:b/>
                <w:bCs w:val="0"/>
                <w:color w:val="auto"/>
                <w:sz w:val="24"/>
                <w:highlight w:val="none"/>
                <w:lang w:val="en-US" w:eastAsia="zh-CN"/>
              </w:rPr>
              <w:t>本项目符合国家产业政策，符合山东省相关审批原则的要求。在严格落实报告表提出的大气、噪声、生态保护措施及其他各项环保措施前提下，从环境保护角度分析，本项目建设可行</w:t>
            </w:r>
            <w:r>
              <w:rPr>
                <w:rFonts w:hint="default" w:ascii="Times New Roman" w:hAnsi="Times New Roman" w:eastAsia="宋体" w:cs="Times New Roman"/>
                <w:b w:val="0"/>
                <w:bCs/>
                <w:color w:val="auto"/>
                <w:sz w:val="24"/>
                <w:highlight w:val="none"/>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534" w:hRule="atLeast"/>
          <w:jc w:val="center"/>
        </w:trPr>
        <w:tc>
          <w:tcPr>
            <w:tcW w:w="9796" w:type="dxa"/>
            <w:tcBorders>
              <w:top w:val="single" w:color="000000" w:sz="12" w:space="0"/>
              <w:bottom w:val="single" w:color="000000" w:sz="12" w:space="0"/>
            </w:tcBorders>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jc w:val="both"/>
              <w:textAlignment w:val="auto"/>
              <w:outlineLvl w:val="9"/>
              <w:rPr>
                <w:rFonts w:hint="eastAsia" w:ascii="Times New Roman" w:hAnsi="Times New Roman" w:eastAsia="宋体" w:cs="Times New Roman"/>
                <w:b/>
                <w:color w:val="auto"/>
                <w:spacing w:val="0"/>
                <w:w w:val="100"/>
                <w:sz w:val="24"/>
                <w:szCs w:val="24"/>
                <w:lang w:val="en-US" w:eastAsia="zh-CN"/>
              </w:rPr>
            </w:pPr>
            <w:r>
              <w:rPr>
                <w:rFonts w:hint="eastAsia" w:ascii="Times New Roman" w:hAnsi="Times New Roman" w:eastAsia="宋体" w:cs="Times New Roman"/>
                <w:b/>
                <w:color w:val="auto"/>
                <w:spacing w:val="0"/>
                <w:w w:val="100"/>
                <w:sz w:val="24"/>
                <w:szCs w:val="24"/>
                <w:lang w:val="en-US" w:eastAsia="zh-CN"/>
              </w:rPr>
              <w:t>各级环境保护行政主管部门的审批意见：</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一、</w:t>
            </w:r>
            <w:r>
              <w:rPr>
                <w:rFonts w:hint="default" w:ascii="Times New Roman" w:hAnsi="Times New Roman" w:eastAsia="宋体" w:cs="Times New Roman"/>
                <w:color w:val="auto"/>
                <w:sz w:val="24"/>
                <w:highlight w:val="none"/>
                <w:lang w:val="en-US" w:eastAsia="zh-CN"/>
              </w:rPr>
              <w:t>该项目为新建项目，位于肥城市石横镇，起点位于国家能源集团山东石横热电有限公司，终点位于泰安、平阴分界处，项目总投资21168万元，其中环保投资250万元。建设管径2xDN1400供热管线，总长度约4.5千米，采用架空方式跨越红石河及1030干渠。根据环境影响评价结论，在全面落实环境影响报告表提出的各项环境保护措施后，该项目产生的不利环境影响可以得到减缓和控制。从环境保护角度分析，原则同意环境影响报告表提出的环境影响评价结论和拟采取的环境保护措施。</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default" w:ascii="Times New Roman" w:hAnsi="Times New Roman" w:eastAsia="宋体" w:cs="Times New Roman"/>
                <w:color w:val="auto"/>
                <w:sz w:val="24"/>
                <w:highlight w:val="none"/>
                <w:lang w:val="en-US" w:eastAsia="zh-CN"/>
              </w:rPr>
              <w:t>二、项目设计、建设和运行管理中应重点做好以下工作</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（一）</w:t>
            </w:r>
            <w:r>
              <w:rPr>
                <w:rFonts w:hint="default" w:ascii="Times New Roman" w:hAnsi="Times New Roman" w:eastAsia="宋体" w:cs="Times New Roman"/>
                <w:color w:val="auto"/>
                <w:sz w:val="24"/>
                <w:highlight w:val="none"/>
                <w:lang w:val="en-US" w:eastAsia="zh-CN"/>
              </w:rPr>
              <w:t>落实大气污染防治措施。采取在施工工地、临时堆场周围设置连续封闭围挡，对施工场地、临时堆场设置符合要求的密目防尘网或防尘布，物料、渣土运输车辆密闭蓬盖，施工工地车行道路应当采取硬化措施，定期洒水清扫抑尘和车辆冲洗，做好扬尘污染防治工作。</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（二）</w:t>
            </w:r>
            <w:r>
              <w:rPr>
                <w:rFonts w:hint="default" w:ascii="Times New Roman" w:hAnsi="Times New Roman" w:eastAsia="宋体" w:cs="Times New Roman"/>
                <w:color w:val="auto"/>
                <w:sz w:val="24"/>
                <w:highlight w:val="none"/>
                <w:lang w:val="en-US" w:eastAsia="zh-CN"/>
              </w:rPr>
              <w:t>落实水污染防治措施。管道试压废水经沉淀处理后，回用于施工场地冲洗、施工区酒水等，不得外排。生活污水委托环卫部门定期清运。</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（三）</w:t>
            </w:r>
            <w:r>
              <w:rPr>
                <w:rFonts w:hint="default" w:ascii="Times New Roman" w:hAnsi="Times New Roman" w:eastAsia="宋体" w:cs="Times New Roman"/>
                <w:color w:val="auto"/>
                <w:sz w:val="24"/>
                <w:highlight w:val="none"/>
                <w:lang w:val="en-US" w:eastAsia="zh-CN"/>
              </w:rPr>
              <w:t>落实噪声污染防治措施。选用低噪声施工机械和工艺，合理布置施工场地，严格控制施工噪声。合理安排施工作业时间，临近敏感目标一侧设置临时声屏障等减轻施工噪声影响，施工期噪声满足《建筑施工厂界环境噪声排放标准》</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GB12523-2011</w:t>
            </w:r>
            <w:r>
              <w:rPr>
                <w:rFonts w:hint="eastAsia" w:cs="Times New Roman"/>
                <w:color w:val="auto"/>
                <w:sz w:val="24"/>
                <w:highlight w:val="none"/>
                <w:lang w:val="en-US" w:eastAsia="zh-CN"/>
              </w:rPr>
              <w:t>）</w:t>
            </w:r>
            <w:r>
              <w:rPr>
                <w:rFonts w:hint="default" w:ascii="Times New Roman" w:hAnsi="Times New Roman" w:eastAsia="宋体" w:cs="Times New Roman"/>
                <w:color w:val="auto"/>
                <w:sz w:val="24"/>
                <w:highlight w:val="none"/>
                <w:lang w:val="en-US" w:eastAsia="zh-CN"/>
              </w:rPr>
              <w:t>相关标准</w:t>
            </w:r>
            <w:r>
              <w:rPr>
                <w:rFonts w:hint="eastAsia" w:cs="Times New Roman"/>
                <w:color w:val="auto"/>
                <w:sz w:val="24"/>
                <w:highlight w:val="none"/>
                <w:lang w:val="en-US" w:eastAsia="zh-CN"/>
              </w:rPr>
              <w:t>。</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（四）按固体废物“资源化、减量化、无害化”处置原则，落实各类固体废物的收集、分类处置和综合利用措施。</w:t>
            </w:r>
          </w:p>
          <w:p>
            <w:pPr>
              <w:keepNext w:val="0"/>
              <w:keepLines w:val="0"/>
              <w:suppressLineNumbers w:val="0"/>
              <w:adjustRightInd w:val="0"/>
              <w:spacing w:before="0" w:beforeAutospacing="0" w:after="0" w:afterAutospacing="0" w:line="360" w:lineRule="auto"/>
              <w:ind w:left="0" w:right="0" w:firstLine="480" w:firstLineChars="200"/>
              <w:rPr>
                <w:rFonts w:hint="eastAsia" w:cs="Times New Roman"/>
                <w:color w:val="auto"/>
                <w:sz w:val="24"/>
                <w:highlight w:val="none"/>
                <w:lang w:val="en-US" w:eastAsia="zh-CN"/>
              </w:rPr>
            </w:pPr>
            <w:r>
              <w:rPr>
                <w:rFonts w:hint="eastAsia" w:cs="Times New Roman"/>
                <w:color w:val="auto"/>
                <w:sz w:val="24"/>
                <w:highlight w:val="none"/>
                <w:lang w:val="en-US" w:eastAsia="zh-CN"/>
              </w:rPr>
              <w:t>（五）</w:t>
            </w:r>
            <w:r>
              <w:rPr>
                <w:rFonts w:hint="eastAsia" w:ascii="Times New Roman" w:hAnsi="Times New Roman" w:eastAsia="宋体" w:cs="Times New Roman"/>
                <w:color w:val="auto"/>
                <w:sz w:val="24"/>
                <w:highlight w:val="none"/>
                <w:lang w:val="en-US" w:eastAsia="zh-CN"/>
              </w:rPr>
              <w:t>落实生态保护措施。加强管线施工管理，不得擅自扩大临时施工场地严禁向河道倾倒固废垃圾、生活污水，施工便道尽量利用现有道路，减少临时占地面积等，严格落实各项土地资源、植物资源、动物资源、水库、永久基本农田等保护措施。不在永久基本农田设置临时堆土场，施工时采用耕地耕作层土壤剥离再利用等工程技术措施，减少对耕作层的破坏;禁止在施工作业带场地四处乱挖;地面基本保持平整;根据施工作业带所处地形和挖深，采取相应措施减小水土流失;严格落实临时用地恢复责任，临时用地到期后一年内时进行复垦恢复原种植条件，落实土地复垦验收要求。按照报告表提出的生态环境保护和防治水土流失措施，做好</w:t>
            </w:r>
            <w:r>
              <w:rPr>
                <w:rFonts w:hint="eastAsia" w:cs="Times New Roman"/>
                <w:color w:val="auto"/>
                <w:sz w:val="24"/>
                <w:highlight w:val="none"/>
                <w:lang w:val="en-US" w:eastAsia="zh-CN"/>
              </w:rPr>
              <w:t>生态保护和水土保持工作。</w:t>
            </w:r>
          </w:p>
          <w:p>
            <w:pPr>
              <w:keepNext w:val="0"/>
              <w:keepLines w:val="0"/>
              <w:suppressLineNumbers w:val="0"/>
              <w:adjustRightInd w:val="0"/>
              <w:spacing w:before="0" w:beforeAutospacing="0" w:after="0" w:afterAutospacing="0" w:line="360" w:lineRule="auto"/>
              <w:ind w:left="0" w:right="0" w:firstLine="480" w:firstLineChars="200"/>
              <w:rPr>
                <w:rFonts w:hint="eastAsia" w:cs="Times New Roman"/>
                <w:color w:val="auto"/>
                <w:sz w:val="24"/>
                <w:highlight w:val="none"/>
                <w:lang w:val="en-US" w:eastAsia="zh-CN"/>
              </w:rPr>
            </w:pPr>
            <w:r>
              <w:rPr>
                <w:rFonts w:hint="eastAsia" w:cs="Times New Roman"/>
                <w:color w:val="auto"/>
                <w:sz w:val="24"/>
                <w:highlight w:val="none"/>
                <w:lang w:val="en-US" w:eastAsia="zh-CN"/>
              </w:rPr>
              <w:t>（六）严格落实报告表提出的环境风险防范措施，设置泄漏检测光纤设施监测供热管网的安全,落实各项生态环境安全防范工作责任，有效防范和应对环境风险。</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（七）严格按照法律法规要求履行有关永久基本农田穿越手续，申请临时用地并编制土地复垦方案进行备案，依法办理规划、水影响评价、考古调查等有关手续，并按照法定程序经批准后实施。</w:t>
            </w:r>
          </w:p>
          <w:p>
            <w:pPr>
              <w:keepNext w:val="0"/>
              <w:keepLines w:val="0"/>
              <w:suppressLineNumbers w:val="0"/>
              <w:adjustRightInd w:val="0"/>
              <w:spacing w:before="0" w:beforeAutospacing="0" w:after="0" w:afterAutospacing="0" w:line="360" w:lineRule="auto"/>
              <w:ind w:left="0" w:right="0" w:firstLine="480" w:firstLineChars="200"/>
              <w:rPr>
                <w:rFonts w:hint="default" w:cs="Times New Roman"/>
                <w:color w:val="auto"/>
                <w:sz w:val="24"/>
                <w:highlight w:val="none"/>
                <w:lang w:val="en-US" w:eastAsia="zh-CN"/>
              </w:rPr>
            </w:pPr>
            <w:r>
              <w:rPr>
                <w:rFonts w:hint="default" w:cs="Times New Roman"/>
                <w:color w:val="auto"/>
                <w:sz w:val="24"/>
                <w:highlight w:val="none"/>
                <w:lang w:val="en-US" w:eastAsia="zh-CN"/>
              </w:rPr>
              <w:t>项目建设必须严格执行配套的环境保护设施与主体工程同时设计、同时施工、同时投产使用的“三同时”制度。项目竣工后，须按规定和程序进行竣工环境保护验收。</w:t>
            </w:r>
          </w:p>
          <w:p>
            <w:pPr>
              <w:keepNext w:val="0"/>
              <w:keepLines w:val="0"/>
              <w:suppressLineNumbers w:val="0"/>
              <w:adjustRightInd w:val="0"/>
              <w:spacing w:before="0" w:beforeAutospacing="0" w:after="0" w:afterAutospacing="0" w:line="360" w:lineRule="auto"/>
              <w:ind w:left="0" w:right="0" w:firstLine="480" w:firstLineChars="200"/>
              <w:rPr>
                <w:rFonts w:hint="default" w:cs="Times New Roman"/>
                <w:color w:val="auto"/>
                <w:sz w:val="24"/>
                <w:highlight w:val="none"/>
                <w:lang w:val="en-US" w:eastAsia="zh-CN"/>
              </w:rPr>
            </w:pPr>
            <w:r>
              <w:rPr>
                <w:rFonts w:hint="default" w:cs="Times New Roman"/>
                <w:color w:val="auto"/>
                <w:sz w:val="24"/>
                <w:highlight w:val="none"/>
                <w:lang w:val="en-US" w:eastAsia="zh-CN"/>
              </w:rPr>
              <w:t>四、建设项目的环境影响报告表经批准后，若该建设项目的性质、规模、地点或者防治污染的措施等发生重大变动，应重新报批该项目环境影响报告表。</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color w:val="auto"/>
                <w:lang w:val="en-US" w:eastAsia="zh-CN"/>
              </w:rPr>
            </w:pPr>
          </w:p>
          <w:p>
            <w:pPr>
              <w:pStyle w:val="21"/>
              <w:rPr>
                <w:rFonts w:hint="default"/>
                <w:color w:val="auto"/>
                <w:lang w:val="en-US" w:eastAsia="zh-CN"/>
              </w:rPr>
            </w:pPr>
          </w:p>
          <w:p>
            <w:pPr>
              <w:rPr>
                <w:rFonts w:hint="default"/>
                <w:color w:val="auto"/>
                <w:lang w:val="en-US" w:eastAsia="zh-CN"/>
              </w:rPr>
            </w:pPr>
          </w:p>
        </w:tc>
      </w:tr>
    </w:tbl>
    <w:p>
      <w:pPr>
        <w:pStyle w:val="2"/>
        <w:jc w:val="center"/>
        <w:rPr>
          <w:rFonts w:hint="default" w:ascii="Times New Roman" w:hAnsi="Times New Roman"/>
          <w:b/>
          <w:color w:val="auto"/>
          <w:sz w:val="32"/>
        </w:rPr>
      </w:pPr>
      <w:r>
        <w:rPr>
          <w:rFonts w:hint="default" w:ascii="Times New Roman" w:hAnsi="Times New Roman"/>
          <w:b/>
          <w:color w:val="auto"/>
          <w:sz w:val="32"/>
        </w:rPr>
        <w:t>表 6 环境保护措施执行情况</w:t>
      </w:r>
    </w:p>
    <w:tbl>
      <w:tblPr>
        <w:tblStyle w:val="23"/>
        <w:tblW w:w="498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97"/>
        <w:gridCol w:w="3735"/>
        <w:gridCol w:w="4228"/>
        <w:gridCol w:w="85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blHeader/>
          <w:jc w:val="center"/>
        </w:trPr>
        <w:tc>
          <w:tcPr>
            <w:tcW w:w="508" w:type="pct"/>
            <w:tcBorders>
              <w:tl2br w:val="nil"/>
              <w:tr2bl w:val="nil"/>
            </w:tcBorders>
            <w:vAlign w:val="center"/>
          </w:tcPr>
          <w:p>
            <w:pPr>
              <w:keepNext w:val="0"/>
              <w:keepLines w:val="0"/>
              <w:suppressLineNumbers w:val="0"/>
              <w:adjustRightInd w:val="0"/>
              <w:spacing w:before="0" w:beforeAutospacing="0" w:after="0" w:afterAutospacing="0" w:line="240" w:lineRule="auto"/>
              <w:ind w:right="0"/>
              <w:jc w:val="center"/>
              <w:rPr>
                <w:rFonts w:hint="default"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阶段</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240" w:lineRule="auto"/>
              <w:ind w:right="0"/>
              <w:jc w:val="center"/>
              <w:rPr>
                <w:rFonts w:hint="eastAsia"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环境影响报告表及审批文件中</w:t>
            </w:r>
          </w:p>
          <w:p>
            <w:pPr>
              <w:keepNext w:val="0"/>
              <w:keepLines w:val="0"/>
              <w:suppressLineNumbers w:val="0"/>
              <w:adjustRightInd w:val="0"/>
              <w:spacing w:before="0" w:beforeAutospacing="0" w:after="0" w:afterAutospacing="0" w:line="240" w:lineRule="auto"/>
              <w:ind w:right="0"/>
              <w:jc w:val="center"/>
              <w:rPr>
                <w:rFonts w:hint="eastAsia"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要求的环境保护措施</w:t>
            </w:r>
          </w:p>
        </w:tc>
        <w:tc>
          <w:tcPr>
            <w:tcW w:w="2152" w:type="pct"/>
            <w:tcBorders>
              <w:tl2br w:val="nil"/>
              <w:tr2bl w:val="nil"/>
            </w:tcBorders>
            <w:vAlign w:val="center"/>
          </w:tcPr>
          <w:p>
            <w:pPr>
              <w:keepNext w:val="0"/>
              <w:keepLines w:val="0"/>
              <w:suppressLineNumbers w:val="0"/>
              <w:adjustRightInd w:val="0"/>
              <w:spacing w:before="0" w:beforeAutospacing="0" w:after="0" w:afterAutospacing="0" w:line="240" w:lineRule="auto"/>
              <w:ind w:left="0" w:right="0" w:firstLine="482" w:firstLineChars="200"/>
              <w:jc w:val="center"/>
              <w:rPr>
                <w:rFonts w:hint="default"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环境保护措施实际建设情况</w:t>
            </w:r>
          </w:p>
        </w:tc>
        <w:tc>
          <w:tcPr>
            <w:tcW w:w="437" w:type="pct"/>
            <w:tcBorders>
              <w:tl2br w:val="nil"/>
              <w:tr2bl w:val="nil"/>
            </w:tcBorders>
            <w:vAlign w:val="center"/>
          </w:tcPr>
          <w:p>
            <w:pPr>
              <w:keepNext w:val="0"/>
              <w:keepLines w:val="0"/>
              <w:suppressLineNumbers w:val="0"/>
              <w:adjustRightInd w:val="0"/>
              <w:spacing w:before="0" w:beforeAutospacing="0" w:after="0" w:afterAutospacing="0" w:line="240" w:lineRule="auto"/>
              <w:ind w:right="0"/>
              <w:jc w:val="center"/>
              <w:rPr>
                <w:rFonts w:hint="eastAsia"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落实</w:t>
            </w:r>
          </w:p>
          <w:p>
            <w:pPr>
              <w:keepNext w:val="0"/>
              <w:keepLines w:val="0"/>
              <w:suppressLineNumbers w:val="0"/>
              <w:adjustRightInd w:val="0"/>
              <w:spacing w:before="0" w:beforeAutospacing="0" w:after="0" w:afterAutospacing="0" w:line="240" w:lineRule="auto"/>
              <w:ind w:right="0"/>
              <w:jc w:val="center"/>
              <w:rPr>
                <w:rFonts w:hint="eastAsia" w:ascii="Times New Roman" w:hAnsi="Times New Roman" w:eastAsia="宋体" w:cs="Times New Roman"/>
                <w:b/>
                <w:bCs/>
                <w:color w:val="auto"/>
                <w:sz w:val="24"/>
                <w:szCs w:val="24"/>
                <w:highlight w:val="none"/>
                <w:lang w:val="en-US" w:eastAsia="zh-CN"/>
              </w:rPr>
            </w:pPr>
            <w:r>
              <w:rPr>
                <w:rFonts w:hint="eastAsia" w:ascii="Times New Roman" w:hAnsi="Times New Roman" w:eastAsia="宋体" w:cs="Times New Roman"/>
                <w:b/>
                <w:bCs/>
                <w:color w:val="auto"/>
                <w:sz w:val="24"/>
                <w:szCs w:val="24"/>
                <w:highlight w:val="none"/>
                <w:lang w:val="en-US" w:eastAsia="zh-CN"/>
              </w:rPr>
              <w:t>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2972" w:hRule="atLeast"/>
          <w:jc w:val="center"/>
        </w:trPr>
        <w:tc>
          <w:tcPr>
            <w:tcW w:w="508"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cs="Times New Roman"/>
                <w:b/>
                <w:bCs w:val="0"/>
                <w:color w:val="auto"/>
                <w:sz w:val="24"/>
                <w:szCs w:val="24"/>
                <w:lang w:val="en-US" w:eastAsia="zh-CN"/>
              </w:rPr>
            </w:pPr>
            <w:r>
              <w:rPr>
                <w:rFonts w:hint="eastAsia" w:cs="Times New Roman"/>
                <w:b/>
                <w:bCs w:val="0"/>
                <w:color w:val="auto"/>
                <w:sz w:val="24"/>
                <w:szCs w:val="24"/>
                <w:lang w:val="en-US" w:eastAsia="zh-CN"/>
              </w:rPr>
              <w:t>工程</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ascii="Times New Roman" w:hAnsi="Times New Roman" w:cs="Times New Roman"/>
                <w:b w:val="0"/>
                <w:bCs/>
                <w:color w:val="auto"/>
                <w:sz w:val="24"/>
                <w:szCs w:val="24"/>
                <w:lang w:val="en-US" w:eastAsia="zh-CN"/>
              </w:rPr>
            </w:pPr>
            <w:r>
              <w:rPr>
                <w:rFonts w:hint="eastAsia" w:cs="Times New Roman"/>
                <w:b/>
                <w:bCs w:val="0"/>
                <w:color w:val="auto"/>
                <w:sz w:val="24"/>
                <w:szCs w:val="24"/>
                <w:lang w:val="en-US" w:eastAsia="zh-CN"/>
              </w:rPr>
              <w:t>内容</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该项目为新建项目，位于肥城市石横镇，起点位于国家能源集团山东石横热电有限公司，终点位于泰安、平阴分界处，项目总投资21168万元，其中环保投资250万元。建设管径2</w:t>
            </w:r>
            <w:r>
              <w:rPr>
                <w:rFonts w:hint="eastAsia"/>
                <w:color w:val="auto"/>
                <w:sz w:val="24"/>
                <w:szCs w:val="24"/>
                <w:lang w:val="en-US" w:eastAsia="zh-CN"/>
              </w:rPr>
              <w:t>×</w:t>
            </w:r>
            <w:r>
              <w:rPr>
                <w:rFonts w:hint="default" w:ascii="Times New Roman" w:hAnsi="Times New Roman" w:eastAsia="宋体" w:cs="Times New Roman"/>
                <w:color w:val="auto"/>
                <w:sz w:val="24"/>
                <w:szCs w:val="24"/>
                <w:highlight w:val="none"/>
                <w:lang w:val="en-US" w:eastAsia="zh-CN"/>
              </w:rPr>
              <w:t>DN1400供热管线，总长度约4.5千米，采用架空方式跨越红石河及1030干渠。根据环境影响评价结论，在全面落实环境影响报告表提出的各项环境保护措施后，该项目产生的不利环境影响可以得到减缓和控制。从环境保护角度分析，原则同意环境影响报告表提出的环境影响评价结论和拟采取的环境保护措施。</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2" w:firstLineChars="200"/>
              <w:jc w:val="both"/>
              <w:textAlignment w:val="auto"/>
              <w:outlineLvl w:val="9"/>
              <w:rPr>
                <w:b/>
                <w:color w:val="auto"/>
                <w:w w:val="100"/>
                <w:sz w:val="24"/>
                <w:szCs w:val="24"/>
                <w:vertAlign w:val="baseline"/>
              </w:rPr>
            </w:pPr>
          </w:p>
        </w:tc>
        <w:tc>
          <w:tcPr>
            <w:tcW w:w="2152" w:type="pct"/>
            <w:tcBorders>
              <w:tl2br w:val="nil"/>
              <w:tr2bl w:val="nil"/>
            </w:tcBorders>
            <w:vAlign w:val="center"/>
          </w:tcPr>
          <w:p>
            <w:pPr>
              <w:spacing w:line="360" w:lineRule="auto"/>
              <w:ind w:firstLine="480" w:firstLineChars="200"/>
              <w:rPr>
                <w:rFonts w:hint="eastAsia"/>
                <w:color w:val="auto"/>
                <w:sz w:val="24"/>
                <w:szCs w:val="24"/>
                <w:lang w:val="en-US" w:eastAsia="zh-CN"/>
              </w:rPr>
            </w:pPr>
            <w:r>
              <w:rPr>
                <w:rFonts w:hint="eastAsia"/>
                <w:color w:val="auto"/>
                <w:sz w:val="24"/>
                <w:szCs w:val="24"/>
                <w:lang w:val="en-US" w:eastAsia="zh-CN"/>
              </w:rPr>
              <w:t>“石热入济长距离输送供热工程（泰安段）”</w:t>
            </w:r>
            <w:r>
              <w:rPr>
                <w:rFonts w:hint="default"/>
                <w:color w:val="auto"/>
                <w:sz w:val="24"/>
                <w:szCs w:val="24"/>
                <w:lang w:val="en-US" w:eastAsia="zh-CN"/>
              </w:rPr>
              <w:t>位于肥城市石横镇</w:t>
            </w:r>
            <w:r>
              <w:rPr>
                <w:rFonts w:hint="eastAsia"/>
                <w:color w:val="auto"/>
                <w:sz w:val="24"/>
                <w:szCs w:val="24"/>
                <w:lang w:val="en-US" w:eastAsia="zh-CN"/>
              </w:rPr>
              <w:t>，</w:t>
            </w:r>
            <w:r>
              <w:rPr>
                <w:rFonts w:hint="default"/>
                <w:color w:val="auto"/>
                <w:sz w:val="24"/>
                <w:szCs w:val="24"/>
                <w:lang w:val="en-US" w:eastAsia="zh-CN"/>
              </w:rPr>
              <w:t>作为</w:t>
            </w:r>
            <w:r>
              <w:rPr>
                <w:rFonts w:hint="eastAsia"/>
                <w:color w:val="auto"/>
                <w:sz w:val="24"/>
                <w:szCs w:val="24"/>
                <w:lang w:val="en-US" w:eastAsia="zh-CN"/>
              </w:rPr>
              <w:t>解决济南西部供热需求的重点工程</w:t>
            </w:r>
            <w:r>
              <w:rPr>
                <w:rFonts w:hint="default"/>
                <w:color w:val="auto"/>
                <w:sz w:val="24"/>
                <w:szCs w:val="24"/>
                <w:lang w:val="en-US" w:eastAsia="zh-CN"/>
              </w:rPr>
              <w:t>，目的是</w:t>
            </w:r>
            <w:r>
              <w:rPr>
                <w:rFonts w:hint="eastAsia"/>
                <w:color w:val="auto"/>
                <w:sz w:val="24"/>
                <w:szCs w:val="24"/>
                <w:lang w:val="en-US" w:eastAsia="zh-CN"/>
              </w:rPr>
              <w:t>计划将“石横电厂余热”引入济南城区。因地制宜的统筹济南周边可利用的电厂余热资源，发展长输管网集中供热，将大幅度提高城市清洁取暖率，满足民生清洁供暖的需要。</w:t>
            </w:r>
          </w:p>
          <w:p>
            <w:pPr>
              <w:spacing w:line="360" w:lineRule="auto"/>
              <w:ind w:firstLine="480" w:firstLineChars="200"/>
              <w:rPr>
                <w:rFonts w:hint="eastAsia" w:ascii="Times New Roman" w:hAnsi="Times New Roman" w:eastAsia="宋体" w:cs="Times New Roman"/>
                <w:color w:val="auto"/>
                <w:kern w:val="2"/>
                <w:sz w:val="24"/>
                <w:szCs w:val="24"/>
                <w:lang w:val="en-US" w:eastAsia="zh-CN" w:bidi="ar-SA"/>
              </w:rPr>
            </w:pPr>
            <w:r>
              <w:rPr>
                <w:rFonts w:hint="eastAsia"/>
                <w:color w:val="auto"/>
                <w:sz w:val="24"/>
                <w:szCs w:val="24"/>
                <w:lang w:val="en-US" w:eastAsia="zh-CN"/>
              </w:rPr>
              <w:t>本项目实际投资21168万元，其中环保投资250万元，占总投资的1.2%</w:t>
            </w:r>
            <w:r>
              <w:rPr>
                <w:rFonts w:hint="eastAsia"/>
                <w:color w:val="auto"/>
                <w:sz w:val="24"/>
                <w:szCs w:val="24"/>
                <w:lang w:val="en-US" w:eastAsia="zh-CN"/>
              </w:rPr>
              <w:t>，</w:t>
            </w:r>
            <w:r>
              <w:rPr>
                <w:rFonts w:hint="default"/>
                <w:color w:val="auto"/>
                <w:sz w:val="24"/>
                <w:szCs w:val="24"/>
                <w:lang w:val="en-US" w:eastAsia="zh-CN"/>
              </w:rPr>
              <w:t>起点位于石横电厂厂区西南侧</w:t>
            </w:r>
            <w:r>
              <w:rPr>
                <w:rFonts w:hint="eastAsia"/>
                <w:color w:val="auto"/>
                <w:sz w:val="24"/>
                <w:szCs w:val="24"/>
                <w:lang w:val="en-US" w:eastAsia="zh-CN"/>
              </w:rPr>
              <w:t>建设</w:t>
            </w:r>
            <w:r>
              <w:rPr>
                <w:rFonts w:hint="default"/>
                <w:color w:val="auto"/>
                <w:sz w:val="24"/>
                <w:szCs w:val="24"/>
                <w:lang w:val="en-US" w:eastAsia="zh-CN"/>
              </w:rPr>
              <w:t>首站，</w:t>
            </w:r>
            <w:r>
              <w:rPr>
                <w:rFonts w:hint="eastAsia"/>
                <w:color w:val="auto"/>
                <w:sz w:val="24"/>
                <w:szCs w:val="24"/>
                <w:lang w:val="en-US" w:eastAsia="zh-CN"/>
              </w:rPr>
              <w:t>主要建设内容为</w:t>
            </w:r>
            <w:r>
              <w:rPr>
                <w:rFonts w:hint="default"/>
                <w:color w:val="auto"/>
                <w:sz w:val="24"/>
                <w:szCs w:val="24"/>
                <w:lang w:val="en-US" w:eastAsia="zh-CN"/>
              </w:rPr>
              <w:t>沿厂区内西侧围墙向北敷设，敷设至</w:t>
            </w:r>
            <w:r>
              <w:rPr>
                <w:rFonts w:hint="default" w:ascii="Times New Roman" w:hAnsi="Times New Roman" w:eastAsia="宋体" w:cs="Times New Roman"/>
                <w:color w:val="auto"/>
                <w:kern w:val="2"/>
                <w:sz w:val="24"/>
                <w:szCs w:val="24"/>
                <w:lang w:val="en-US" w:eastAsia="zh-CN" w:bidi="ar-SA"/>
              </w:rPr>
              <w:t>厂区西北角后出厂区。自石横电厂出线后沿电厂西侧乡村道路接至红石河，架空管过红石河，穿越石横发电厂社区，向北沿赵庄水库东侧、北侧道路敷设，后沿西北方向斜穿农田敷设至平石路；自平石路向北方向沿农田直埋敷设至平阴界。管径2×DN1400，总长度约4.5公里</w:t>
            </w:r>
            <w:r>
              <w:rPr>
                <w:rFonts w:hint="eastAsia" w:ascii="Times New Roman" w:hAnsi="Times New Roman" w:eastAsia="宋体"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含厂区内1.3公里</w:t>
            </w:r>
            <w:r>
              <w:rPr>
                <w:rFonts w:hint="eastAsia" w:ascii="Times New Roman" w:hAnsi="Times New Roman" w:eastAsia="宋体" w:cs="Times New Roman"/>
                <w:color w:val="auto"/>
                <w:kern w:val="2"/>
                <w:sz w:val="24"/>
                <w:szCs w:val="24"/>
                <w:lang w:val="en-US" w:eastAsia="zh-CN" w:bidi="ar-SA"/>
              </w:rPr>
              <w:t>）。</w:t>
            </w:r>
          </w:p>
          <w:p>
            <w:pPr>
              <w:spacing w:line="360" w:lineRule="auto"/>
              <w:ind w:firstLine="480" w:firstLineChars="200"/>
              <w:rPr>
                <w:rFonts w:hint="eastAsia" w:ascii="Times New Roman" w:hAnsi="Times New Roman" w:eastAsia="宋体" w:cs="Times New Roman"/>
                <w:color w:val="auto"/>
                <w:spacing w:val="0"/>
                <w:w w:val="100"/>
                <w:sz w:val="24"/>
                <w:szCs w:val="24"/>
                <w:lang w:val="en-US" w:eastAsia="zh-CN" w:bidi="zh-CN"/>
              </w:rPr>
            </w:pPr>
            <w:r>
              <w:rPr>
                <w:rFonts w:hint="eastAsia"/>
                <w:color w:val="auto"/>
                <w:sz w:val="24"/>
                <w:szCs w:val="24"/>
                <w:lang w:val="en-US" w:eastAsia="zh-CN"/>
              </w:rPr>
              <w:t>本项目于2023年07月开工建设，2023年09月30日竣工，10月06日进行试压调试。</w:t>
            </w:r>
          </w:p>
        </w:tc>
        <w:tc>
          <w:tcPr>
            <w:tcW w:w="437"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Chars="0" w:firstLine="0" w:firstLineChars="0"/>
              <w:jc w:val="center"/>
              <w:textAlignment w:val="auto"/>
              <w:outlineLvl w:val="9"/>
              <w:rPr>
                <w:rFonts w:hint="eastAsia"/>
                <w:b w:val="0"/>
                <w:bCs/>
                <w:color w:val="auto"/>
                <w:w w:val="100"/>
                <w:sz w:val="24"/>
                <w:szCs w:val="24"/>
                <w:vertAlign w:val="baseline"/>
                <w:lang w:eastAsia="zh-CN"/>
              </w:rPr>
            </w:pPr>
            <w:r>
              <w:rPr>
                <w:rFonts w:hint="eastAsia"/>
                <w:b w:val="0"/>
                <w:bCs/>
                <w:color w:val="auto"/>
                <w:w w:val="100"/>
                <w:sz w:val="24"/>
                <w:szCs w:val="24"/>
                <w:vertAlign w:val="baseline"/>
                <w:lang w:eastAsia="zh-CN"/>
              </w:rPr>
              <w:t>已按</w:t>
            </w:r>
          </w:p>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Chars="0" w:firstLine="0" w:firstLineChars="0"/>
              <w:jc w:val="center"/>
              <w:textAlignment w:val="auto"/>
              <w:outlineLvl w:val="9"/>
              <w:rPr>
                <w:rFonts w:hint="eastAsia"/>
                <w:b w:val="0"/>
                <w:bCs/>
                <w:color w:val="auto"/>
                <w:w w:val="100"/>
                <w:sz w:val="24"/>
                <w:szCs w:val="24"/>
                <w:vertAlign w:val="baseline"/>
                <w:lang w:eastAsia="zh-CN"/>
              </w:rPr>
            </w:pPr>
            <w:r>
              <w:rPr>
                <w:rFonts w:hint="eastAsia"/>
                <w:b w:val="0"/>
                <w:bCs/>
                <w:color w:val="auto"/>
                <w:w w:val="100"/>
                <w:sz w:val="24"/>
                <w:szCs w:val="24"/>
                <w:vertAlign w:val="baseline"/>
                <w:lang w:eastAsia="zh-CN"/>
              </w:rPr>
              <w:t>批复</w:t>
            </w:r>
          </w:p>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Chars="0" w:firstLine="0" w:firstLineChars="0"/>
              <w:jc w:val="center"/>
              <w:textAlignment w:val="auto"/>
              <w:outlineLvl w:val="9"/>
              <w:rPr>
                <w:rFonts w:hint="eastAsia"/>
                <w:b w:val="0"/>
                <w:bCs/>
                <w:color w:val="auto"/>
                <w:w w:val="100"/>
                <w:sz w:val="24"/>
                <w:szCs w:val="24"/>
                <w:vertAlign w:val="baseline"/>
                <w:lang w:eastAsia="zh-CN"/>
              </w:rPr>
            </w:pPr>
            <w:r>
              <w:rPr>
                <w:rFonts w:hint="eastAsia"/>
                <w:b w:val="0"/>
                <w:bCs/>
                <w:color w:val="auto"/>
                <w:w w:val="100"/>
                <w:sz w:val="24"/>
                <w:szCs w:val="24"/>
                <w:vertAlign w:val="baseline"/>
                <w:lang w:eastAsia="zh-CN"/>
              </w:rPr>
              <w:t>要求</w:t>
            </w:r>
          </w:p>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Chars="0" w:firstLine="0" w:firstLineChars="0"/>
              <w:jc w:val="center"/>
              <w:textAlignment w:val="auto"/>
              <w:outlineLvl w:val="9"/>
              <w:rPr>
                <w:rFonts w:hint="eastAsia" w:eastAsia="宋体"/>
                <w:b w:val="0"/>
                <w:bCs/>
                <w:color w:val="auto"/>
                <w:w w:val="100"/>
                <w:sz w:val="24"/>
                <w:szCs w:val="24"/>
                <w:vertAlign w:val="baseline"/>
                <w:lang w:eastAsia="zh-CN"/>
              </w:rPr>
            </w:pPr>
            <w:r>
              <w:rPr>
                <w:rFonts w:hint="eastAsia"/>
                <w:b w:val="0"/>
                <w:bCs/>
                <w:color w:val="auto"/>
                <w:w w:val="100"/>
                <w:sz w:val="24"/>
                <w:szCs w:val="24"/>
                <w:vertAlign w:val="baseline"/>
                <w:lang w:eastAsia="zh-CN"/>
              </w:rPr>
              <w:t>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269" w:hRule="atLeast"/>
          <w:jc w:val="center"/>
        </w:trPr>
        <w:tc>
          <w:tcPr>
            <w:tcW w:w="508"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施工期废气</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管理</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cs="Times New Roman"/>
                <w:b w:val="0"/>
                <w:bCs/>
                <w:color w:val="auto"/>
                <w:sz w:val="24"/>
                <w:szCs w:val="24"/>
                <w:lang w:val="en-US" w:eastAsia="zh-CN"/>
              </w:rPr>
            </w:pPr>
            <w:r>
              <w:rPr>
                <w:rFonts w:hint="default" w:ascii="Times New Roman" w:hAnsi="Times New Roman" w:eastAsia="宋体" w:cs="Times New Roman"/>
                <w:color w:val="auto"/>
                <w:sz w:val="24"/>
                <w:szCs w:val="24"/>
                <w:highlight w:val="none"/>
                <w:lang w:val="en-US" w:eastAsia="zh-CN"/>
              </w:rPr>
              <w:t>落实大气污染防治措施。采取在施工工地、临时堆场周围设置连续封闭围挡，对施工场地、临时堆场设置符合要求的密目防尘网或防尘布，物料、渣土运输车辆密闭蓬盖，施工工地车行道路应当采取硬化措施，定期洒水清扫抑尘和车辆冲洗，做好扬尘污染防治工作。</w:t>
            </w:r>
          </w:p>
        </w:tc>
        <w:tc>
          <w:tcPr>
            <w:tcW w:w="2152"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本项目目前已全部建设完成。</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lang w:eastAsia="zh-CN"/>
              </w:rPr>
              <w:t>本项目施工期废气主要是扬尘（</w:t>
            </w:r>
            <w:r>
              <w:rPr>
                <w:rFonts w:hint="eastAsia" w:ascii="Times New Roman" w:hAnsi="Times New Roman" w:eastAsia="宋体" w:cs="Times New Roman"/>
                <w:color w:val="auto"/>
                <w:sz w:val="24"/>
                <w:highlight w:val="none"/>
                <w:lang w:val="en-US" w:eastAsia="zh-CN"/>
              </w:rPr>
              <w:t>TSP</w:t>
            </w:r>
            <w:r>
              <w:rPr>
                <w:rFonts w:hint="eastAsia" w:ascii="Times New Roman" w:hAnsi="Times New Roman" w:eastAsia="宋体" w:cs="Times New Roman"/>
                <w:color w:val="auto"/>
                <w:sz w:val="24"/>
                <w:highlight w:val="none"/>
                <w:lang w:eastAsia="zh-CN"/>
              </w:rPr>
              <w:t>）和燃油废气，主要污染因子为CO、NOx和THC等，扬尘主要来源于土方挖掘填埋作业、物料运输车辆作业等，燃油废气主要来源于运输车辆及工程动力设备运转产生。按照</w:t>
            </w:r>
            <w:r>
              <w:rPr>
                <w:rFonts w:hint="eastAsia" w:cs="Times New Roman"/>
                <w:color w:val="auto"/>
                <w:sz w:val="24"/>
                <w:highlight w:val="none"/>
                <w:lang w:eastAsia="zh-CN"/>
              </w:rPr>
              <w:t>要求，本项目在</w:t>
            </w:r>
            <w:r>
              <w:rPr>
                <w:rFonts w:hint="eastAsia" w:ascii="Times New Roman" w:hAnsi="Times New Roman" w:eastAsia="宋体" w:cs="Times New Roman"/>
                <w:color w:val="auto"/>
                <w:sz w:val="24"/>
                <w:highlight w:val="none"/>
                <w:lang w:eastAsia="zh-CN"/>
              </w:rPr>
              <w:t>施工过程中</w:t>
            </w:r>
            <w:r>
              <w:rPr>
                <w:rFonts w:hint="default" w:ascii="Times New Roman" w:hAnsi="Times New Roman" w:eastAsia="宋体" w:cs="Times New Roman"/>
                <w:color w:val="auto"/>
                <w:sz w:val="24"/>
                <w:highlight w:val="none"/>
                <w:lang w:eastAsia="zh-CN"/>
              </w:rPr>
              <w:t>配备并规范使用</w:t>
            </w:r>
            <w:r>
              <w:rPr>
                <w:rFonts w:hint="eastAsia" w:cs="Times New Roman"/>
                <w:color w:val="auto"/>
                <w:sz w:val="24"/>
                <w:highlight w:val="none"/>
                <w:lang w:eastAsia="zh-CN"/>
              </w:rPr>
              <w:t>移动焊烟净化器，并</w:t>
            </w:r>
            <w:r>
              <w:rPr>
                <w:rFonts w:hint="eastAsia" w:ascii="Times New Roman" w:hAnsi="Times New Roman" w:eastAsia="宋体" w:cs="Times New Roman"/>
                <w:color w:val="auto"/>
                <w:sz w:val="24"/>
                <w:highlight w:val="none"/>
                <w:lang w:eastAsia="zh-CN"/>
              </w:rPr>
              <w:t>通过</w:t>
            </w:r>
            <w:r>
              <w:rPr>
                <w:rFonts w:hint="eastAsia" w:cs="Times New Roman"/>
                <w:color w:val="auto"/>
                <w:sz w:val="24"/>
                <w:highlight w:val="none"/>
                <w:lang w:eastAsia="zh-CN"/>
              </w:rPr>
              <w:t>设置洗车平台、</w:t>
            </w:r>
            <w:r>
              <w:rPr>
                <w:rFonts w:hint="eastAsia" w:ascii="Times New Roman" w:hAnsi="Times New Roman" w:eastAsia="宋体" w:cs="Times New Roman"/>
                <w:color w:val="auto"/>
                <w:sz w:val="24"/>
                <w:highlight w:val="none"/>
                <w:lang w:eastAsia="zh-CN"/>
              </w:rPr>
              <w:t>采取洒水降尘、</w:t>
            </w:r>
            <w:r>
              <w:rPr>
                <w:rFonts w:hint="eastAsia" w:cs="Times New Roman"/>
                <w:color w:val="auto"/>
                <w:sz w:val="24"/>
                <w:highlight w:val="none"/>
                <w:lang w:eastAsia="zh-CN"/>
              </w:rPr>
              <w:t>车辆</w:t>
            </w:r>
            <w:r>
              <w:rPr>
                <w:rFonts w:hint="eastAsia" w:ascii="Times New Roman" w:hAnsi="Times New Roman" w:eastAsia="宋体" w:cs="Times New Roman"/>
                <w:color w:val="auto"/>
                <w:sz w:val="24"/>
                <w:highlight w:val="none"/>
                <w:lang w:eastAsia="zh-CN"/>
              </w:rPr>
              <w:t>篷布遮盖、加水防护等措施</w:t>
            </w:r>
            <w:r>
              <w:rPr>
                <w:rFonts w:hint="eastAsia" w:cs="Times New Roman"/>
                <w:color w:val="auto"/>
                <w:sz w:val="24"/>
                <w:highlight w:val="none"/>
                <w:lang w:eastAsia="zh-CN"/>
              </w:rPr>
              <w:t>；管理方面，通过</w:t>
            </w:r>
            <w:r>
              <w:rPr>
                <w:rFonts w:hint="eastAsia" w:ascii="Times New Roman" w:hAnsi="Times New Roman" w:eastAsia="宋体" w:cs="Times New Roman"/>
                <w:color w:val="auto"/>
                <w:sz w:val="24"/>
                <w:highlight w:val="none"/>
                <w:lang w:eastAsia="zh-CN"/>
              </w:rPr>
              <w:t>加强施工计划、管理等手段等减轻对周围环境的影响</w:t>
            </w:r>
            <w:r>
              <w:rPr>
                <w:rFonts w:hint="default" w:ascii="Times New Roman" w:hAnsi="Times New Roman" w:eastAsia="宋体" w:cs="Times New Roman"/>
                <w:color w:val="auto"/>
                <w:sz w:val="24"/>
                <w:highlight w:val="none"/>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default" w:ascii="Times New Roman" w:hAnsi="Times New Roman" w:eastAsia="宋体" w:cs="Times New Roman"/>
                <w:color w:val="auto"/>
                <w:spacing w:val="0"/>
                <w:w w:val="100"/>
                <w:sz w:val="24"/>
                <w:szCs w:val="24"/>
                <w:lang w:val="en-US" w:eastAsia="zh-CN" w:bidi="zh-CN"/>
              </w:rPr>
            </w:pPr>
            <w:r>
              <w:rPr>
                <w:rFonts w:hint="eastAsia" w:ascii="Times New Roman" w:hAnsi="Times New Roman" w:eastAsia="宋体" w:cs="Times New Roman"/>
                <w:color w:val="auto"/>
                <w:sz w:val="24"/>
                <w:highlight w:val="none"/>
                <w:lang w:val="en-US" w:eastAsia="zh-CN"/>
              </w:rPr>
              <w:t>经调查了解，本项目在施工期间严格落实了省、市等相关法规、标准等要求，在施工期间，未因扬尘污染环境问题受到举报或投诉，未因此产生遗留的生态环境问题。</w:t>
            </w:r>
          </w:p>
        </w:tc>
        <w:tc>
          <w:tcPr>
            <w:tcW w:w="437" w:type="pct"/>
            <w:tcBorders>
              <w:tl2br w:val="nil"/>
              <w:tr2bl w:val="nil"/>
            </w:tcBorders>
            <w:vAlign w:val="center"/>
          </w:tcPr>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0" w:leftChars="0" w:firstLine="0" w:firstLineChars="0"/>
              <w:jc w:val="center"/>
              <w:textAlignment w:val="auto"/>
              <w:outlineLvl w:val="9"/>
              <w:rPr>
                <w:rFonts w:hint="eastAsia" w:cs="Times New Roman"/>
                <w:b w:val="0"/>
                <w:bCs/>
                <w:color w:val="auto"/>
                <w:w w:val="100"/>
                <w:kern w:val="0"/>
                <w:sz w:val="24"/>
                <w:szCs w:val="24"/>
                <w:vertAlign w:val="baseline"/>
                <w:lang w:val="en-US" w:eastAsia="zh-CN" w:bidi="ar-SA"/>
              </w:rPr>
            </w:pPr>
            <w:r>
              <w:rPr>
                <w:rFonts w:hint="eastAsia" w:cs="Times New Roman"/>
                <w:b w:val="0"/>
                <w:bCs/>
                <w:color w:val="auto"/>
                <w:w w:val="100"/>
                <w:kern w:val="0"/>
                <w:sz w:val="24"/>
                <w:szCs w:val="24"/>
                <w:vertAlign w:val="baseline"/>
                <w:lang w:val="en-US" w:eastAsia="zh-CN" w:bidi="ar-SA"/>
              </w:rPr>
              <w:t>已按</w:t>
            </w:r>
          </w:p>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0" w:leftChars="0" w:firstLine="0" w:firstLineChars="0"/>
              <w:jc w:val="center"/>
              <w:textAlignment w:val="auto"/>
              <w:outlineLvl w:val="9"/>
              <w:rPr>
                <w:rFonts w:hint="eastAsia" w:cs="Times New Roman"/>
                <w:b w:val="0"/>
                <w:bCs/>
                <w:color w:val="auto"/>
                <w:w w:val="100"/>
                <w:kern w:val="0"/>
                <w:sz w:val="24"/>
                <w:szCs w:val="24"/>
                <w:vertAlign w:val="baseline"/>
                <w:lang w:val="en-US" w:eastAsia="zh-CN" w:bidi="ar-SA"/>
              </w:rPr>
            </w:pPr>
            <w:r>
              <w:rPr>
                <w:rFonts w:hint="eastAsia" w:cs="Times New Roman"/>
                <w:b w:val="0"/>
                <w:bCs/>
                <w:color w:val="auto"/>
                <w:w w:val="100"/>
                <w:kern w:val="0"/>
                <w:sz w:val="24"/>
                <w:szCs w:val="24"/>
                <w:vertAlign w:val="baseline"/>
                <w:lang w:val="en-US" w:eastAsia="zh-CN" w:bidi="ar-SA"/>
              </w:rPr>
              <w:t>批复</w:t>
            </w:r>
          </w:p>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0" w:leftChars="0" w:firstLine="0" w:firstLineChars="0"/>
              <w:jc w:val="center"/>
              <w:textAlignment w:val="auto"/>
              <w:outlineLvl w:val="9"/>
              <w:rPr>
                <w:rFonts w:hint="eastAsia" w:cs="Times New Roman"/>
                <w:b w:val="0"/>
                <w:bCs/>
                <w:color w:val="auto"/>
                <w:w w:val="100"/>
                <w:kern w:val="0"/>
                <w:sz w:val="24"/>
                <w:szCs w:val="24"/>
                <w:vertAlign w:val="baseline"/>
                <w:lang w:val="en-US" w:eastAsia="zh-CN" w:bidi="ar-SA"/>
              </w:rPr>
            </w:pPr>
            <w:r>
              <w:rPr>
                <w:rFonts w:hint="eastAsia" w:cs="Times New Roman"/>
                <w:b w:val="0"/>
                <w:bCs/>
                <w:color w:val="auto"/>
                <w:w w:val="100"/>
                <w:kern w:val="0"/>
                <w:sz w:val="24"/>
                <w:szCs w:val="24"/>
                <w:vertAlign w:val="baseline"/>
                <w:lang w:val="en-US" w:eastAsia="zh-CN" w:bidi="ar-SA"/>
              </w:rPr>
              <w:t>要求</w:t>
            </w:r>
          </w:p>
          <w:p>
            <w:pPr>
              <w:pStyle w:val="9"/>
              <w:keepNext w:val="0"/>
              <w:keepLines w:val="0"/>
              <w:pageBreakBefore w:val="0"/>
              <w:widowControl w:val="0"/>
              <w:kinsoku/>
              <w:wordWrap/>
              <w:overflowPunct/>
              <w:topLinePunct w:val="0"/>
              <w:autoSpaceDE w:val="0"/>
              <w:autoSpaceDN w:val="0"/>
              <w:bidi w:val="0"/>
              <w:adjustRightInd/>
              <w:snapToGrid/>
              <w:spacing w:before="0" w:line="360" w:lineRule="auto"/>
              <w:ind w:left="0" w:leftChars="0" w:firstLine="0" w:firstLineChars="0"/>
              <w:jc w:val="center"/>
              <w:textAlignment w:val="auto"/>
              <w:outlineLvl w:val="9"/>
              <w:rPr>
                <w:rFonts w:hint="eastAsia" w:ascii="Times New Roman" w:hAnsi="Times New Roman" w:eastAsia="宋体" w:cs="Times New Roman"/>
                <w:b w:val="0"/>
                <w:bCs/>
                <w:color w:val="auto"/>
                <w:w w:val="100"/>
                <w:kern w:val="0"/>
                <w:sz w:val="24"/>
                <w:szCs w:val="24"/>
                <w:vertAlign w:val="baseline"/>
                <w:lang w:val="en-US" w:eastAsia="zh-CN" w:bidi="ar-SA"/>
              </w:rPr>
            </w:pPr>
            <w:r>
              <w:rPr>
                <w:rFonts w:hint="eastAsia" w:cs="Times New Roman"/>
                <w:b w:val="0"/>
                <w:bCs/>
                <w:color w:val="auto"/>
                <w:w w:val="100"/>
                <w:kern w:val="0"/>
                <w:sz w:val="24"/>
                <w:szCs w:val="24"/>
                <w:vertAlign w:val="baseline"/>
                <w:lang w:val="en-US" w:eastAsia="zh-CN" w:bidi="ar-SA"/>
              </w:rPr>
              <w:t>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67" w:hRule="atLeast"/>
          <w:jc w:val="center"/>
        </w:trPr>
        <w:tc>
          <w:tcPr>
            <w:tcW w:w="508"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施工期废水</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管理</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落实水污染防治措施。管道试压废水经沉淀处理后，回用于施工场地冲洗、施工区酒水等，不得外排。生活污水委托环卫部门定期清运。</w:t>
            </w:r>
          </w:p>
        </w:tc>
        <w:tc>
          <w:tcPr>
            <w:tcW w:w="2152"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本项目目前已全部建设完成。</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本项目施工期废水主要为生活污水及少量施工废水，主要污染因子为</w:t>
            </w:r>
            <w:r>
              <w:rPr>
                <w:rFonts w:hint="default" w:ascii="Times New Roman" w:hAnsi="Times New Roman" w:eastAsia="宋体" w:cs="Times New Roman"/>
                <w:color w:val="auto"/>
                <w:sz w:val="24"/>
                <w:szCs w:val="24"/>
                <w:highlight w:val="none"/>
                <w:lang w:val="en-US" w:eastAsia="zh-CN"/>
              </w:rPr>
              <w:t>COD</w:t>
            </w:r>
            <w:r>
              <w:rPr>
                <w:rFonts w:hint="eastAsia" w:ascii="Times New Roman" w:hAnsi="Times New Roman" w:eastAsia="宋体" w:cs="Times New Roman"/>
                <w:color w:val="auto"/>
                <w:sz w:val="24"/>
                <w:szCs w:val="24"/>
                <w:highlight w:val="none"/>
                <w:lang w:val="en-US" w:eastAsia="zh-CN"/>
              </w:rPr>
              <w:t>、SS、氨氮。主要来源于施工人员办公和运输车辆清洗及雨水冲刷场地产生，生活污水</w:t>
            </w:r>
            <w:r>
              <w:rPr>
                <w:rFonts w:hint="default" w:ascii="Times New Roman" w:hAnsi="Times New Roman" w:eastAsia="宋体" w:cs="Times New Roman"/>
                <w:color w:val="auto"/>
                <w:sz w:val="24"/>
                <w:szCs w:val="24"/>
                <w:highlight w:val="none"/>
                <w:lang w:val="en-US" w:eastAsia="zh-CN"/>
              </w:rPr>
              <w:t>采取移动式生态厕所收集后直接外运</w:t>
            </w:r>
            <w:r>
              <w:rPr>
                <w:rFonts w:hint="eastAsia" w:ascii="Times New Roman" w:hAnsi="Times New Roman" w:eastAsia="宋体" w:cs="Times New Roman"/>
                <w:color w:val="auto"/>
                <w:sz w:val="24"/>
                <w:szCs w:val="24"/>
                <w:highlight w:val="none"/>
                <w:lang w:val="en-US" w:eastAsia="zh-CN"/>
              </w:rPr>
              <w:t>。施工期会产生少量试压废水，</w:t>
            </w:r>
            <w:r>
              <w:rPr>
                <w:rFonts w:hint="eastAsia" w:ascii="Times New Roman" w:hAnsi="Times New Roman" w:eastAsia="宋体" w:cs="Times New Roman"/>
                <w:color w:val="auto"/>
                <w:sz w:val="24"/>
                <w:szCs w:val="24"/>
                <w:highlight w:val="none"/>
                <w:lang w:val="en-US" w:eastAsia="zh-CN"/>
              </w:rPr>
              <w:t>该水为处理后的软化水，试压结束后排</w:t>
            </w:r>
            <w:r>
              <w:rPr>
                <w:rFonts w:hint="eastAsia" w:cs="Times New Roman"/>
                <w:color w:val="auto"/>
                <w:sz w:val="24"/>
                <w:szCs w:val="24"/>
                <w:highlight w:val="none"/>
                <w:lang w:val="en-US" w:eastAsia="zh-CN"/>
              </w:rPr>
              <w:t>入</w:t>
            </w:r>
            <w:r>
              <w:rPr>
                <w:rFonts w:hint="eastAsia" w:ascii="Times New Roman" w:hAnsi="Times New Roman" w:eastAsia="宋体" w:cs="Times New Roman"/>
                <w:color w:val="auto"/>
                <w:sz w:val="24"/>
                <w:szCs w:val="24"/>
                <w:highlight w:val="none"/>
                <w:lang w:val="en-US" w:eastAsia="zh-CN"/>
              </w:rPr>
              <w:t>市政管网</w:t>
            </w:r>
            <w:r>
              <w:rPr>
                <w:rFonts w:hint="eastAsia" w:ascii="Times New Roman" w:hAnsi="Times New Roman" w:eastAsia="宋体" w:cs="Times New Roman"/>
                <w:color w:val="auto"/>
                <w:sz w:val="24"/>
                <w:szCs w:val="24"/>
                <w:highlight w:val="none"/>
                <w:lang w:val="en-US" w:eastAsia="zh-CN"/>
              </w:rPr>
              <w:t>。</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highlight w:val="none"/>
                <w:lang w:val="en-US" w:eastAsia="zh-CN"/>
              </w:rPr>
              <w:t>经调查了解，</w:t>
            </w:r>
            <w:r>
              <w:rPr>
                <w:rFonts w:hint="eastAsia" w:ascii="Times New Roman" w:hAnsi="Times New Roman" w:eastAsia="宋体" w:cs="Times New Roman"/>
                <w:color w:val="auto"/>
                <w:sz w:val="24"/>
                <w:szCs w:val="24"/>
                <w:highlight w:val="none"/>
                <w:lang w:val="en-US" w:eastAsia="zh-CN"/>
              </w:rPr>
              <w:t>在施工期间，本项目未因</w:t>
            </w:r>
            <w:r>
              <w:rPr>
                <w:rFonts w:hint="eastAsia" w:cs="Times New Roman"/>
                <w:color w:val="auto"/>
                <w:sz w:val="24"/>
                <w:szCs w:val="24"/>
                <w:highlight w:val="none"/>
                <w:lang w:val="en-US" w:eastAsia="zh-CN"/>
              </w:rPr>
              <w:t>废水</w:t>
            </w:r>
            <w:r>
              <w:rPr>
                <w:rFonts w:hint="eastAsia" w:ascii="Times New Roman" w:hAnsi="Times New Roman" w:eastAsia="宋体" w:cs="Times New Roman"/>
                <w:color w:val="auto"/>
                <w:sz w:val="24"/>
                <w:szCs w:val="24"/>
                <w:highlight w:val="none"/>
                <w:lang w:val="en-US" w:eastAsia="zh-CN"/>
              </w:rPr>
              <w:t>污染环境问题受到举报或投诉，未因此产生遗留的生态环境问题。</w:t>
            </w:r>
          </w:p>
        </w:tc>
        <w:tc>
          <w:tcPr>
            <w:tcW w:w="437" w:type="pct"/>
            <w:tcBorders>
              <w:tl2br w:val="nil"/>
              <w:tr2bl w:val="nil"/>
            </w:tcBorders>
            <w:vAlign w:val="center"/>
          </w:tcPr>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已按</w:t>
            </w:r>
          </w:p>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批复</w:t>
            </w:r>
          </w:p>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要求</w:t>
            </w:r>
          </w:p>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240" w:hRule="atLeast"/>
          <w:jc w:val="center"/>
        </w:trPr>
        <w:tc>
          <w:tcPr>
            <w:tcW w:w="508"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施工期噪声</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管理</w:t>
            </w:r>
          </w:p>
        </w:tc>
        <w:tc>
          <w:tcPr>
            <w:tcW w:w="1901" w:type="pc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336" w:lineRule="auto"/>
              <w:ind w:left="0" w:right="0"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default" w:ascii="Times New Roman" w:hAnsi="Times New Roman" w:eastAsia="宋体" w:cs="Times New Roman"/>
                <w:color w:val="auto"/>
                <w:sz w:val="24"/>
                <w:szCs w:val="24"/>
                <w:highlight w:val="none"/>
                <w:lang w:val="en-US" w:eastAsia="zh-CN"/>
              </w:rPr>
              <w:t>落实噪声污染防治措施。选用低噪声施工机械和工艺，合理布置施工场地，严格控制施工噪声。合理安排施工作业时间，临近敏感目标一侧设置临时声屏障等减轻施工噪声影响，施工期噪声满足《建筑施工厂界环境噪声排放标准》</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GB12523-2011</w:t>
            </w:r>
            <w:r>
              <w:rPr>
                <w:rFonts w:hint="eastAsia" w:ascii="Times New Roman" w:hAnsi="Times New Roman" w:eastAsia="宋体" w:cs="Times New Roman"/>
                <w:color w:val="auto"/>
                <w:sz w:val="24"/>
                <w:szCs w:val="24"/>
                <w:highlight w:val="none"/>
                <w:lang w:val="en-US" w:eastAsia="zh-CN"/>
              </w:rPr>
              <w:t>）</w:t>
            </w:r>
            <w:r>
              <w:rPr>
                <w:rFonts w:hint="default" w:ascii="Times New Roman" w:hAnsi="Times New Roman" w:eastAsia="宋体" w:cs="Times New Roman"/>
                <w:color w:val="auto"/>
                <w:sz w:val="24"/>
                <w:szCs w:val="24"/>
                <w:highlight w:val="none"/>
                <w:lang w:val="en-US" w:eastAsia="zh-CN"/>
              </w:rPr>
              <w:t>相关标准</w:t>
            </w:r>
            <w:r>
              <w:rPr>
                <w:rFonts w:hint="eastAsia" w:ascii="Times New Roman" w:hAnsi="Times New Roman" w:eastAsia="宋体" w:cs="Times New Roman"/>
                <w:color w:val="auto"/>
                <w:sz w:val="24"/>
                <w:szCs w:val="24"/>
                <w:highlight w:val="none"/>
                <w:lang w:val="en-US" w:eastAsia="zh-CN"/>
              </w:rPr>
              <w:t>。</w:t>
            </w:r>
          </w:p>
        </w:tc>
        <w:tc>
          <w:tcPr>
            <w:tcW w:w="2152" w:type="pc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336" w:lineRule="auto"/>
              <w:ind w:left="0" w:right="0"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本项目目前已全部建设完成。</w:t>
            </w:r>
          </w:p>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336" w:lineRule="auto"/>
              <w:ind w:left="0" w:right="0"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在施工过程中采取了必要的隔声降噪措施，并通过低噪声设备的选取以及合理安排施工时间来降低对周围环境的影响</w:t>
            </w:r>
            <w:r>
              <w:rPr>
                <w:rFonts w:hint="eastAsia" w:cs="Times New Roman"/>
                <w:color w:val="auto"/>
                <w:sz w:val="24"/>
                <w:szCs w:val="24"/>
                <w:highlight w:val="none"/>
                <w:lang w:val="en-US" w:eastAsia="zh-CN"/>
              </w:rPr>
              <w:t>。</w:t>
            </w:r>
            <w:r>
              <w:rPr>
                <w:rFonts w:hint="eastAsia" w:ascii="Times New Roman" w:hAnsi="Times New Roman" w:eastAsia="宋体" w:cs="Times New Roman"/>
                <w:color w:val="auto"/>
                <w:sz w:val="24"/>
                <w:highlight w:val="none"/>
                <w:lang w:val="en-US" w:eastAsia="zh-CN"/>
              </w:rPr>
              <w:t>经调查了解，</w:t>
            </w:r>
            <w:r>
              <w:rPr>
                <w:rFonts w:hint="eastAsia" w:ascii="Times New Roman" w:hAnsi="Times New Roman" w:eastAsia="宋体" w:cs="Times New Roman"/>
                <w:color w:val="auto"/>
                <w:sz w:val="24"/>
                <w:szCs w:val="24"/>
                <w:highlight w:val="none"/>
                <w:lang w:val="en-US" w:eastAsia="zh-CN"/>
              </w:rPr>
              <w:t>在施工期间，本项目未因噪声污染环境问题受到举报或投诉，未因此产生遗留的生态环境问题。</w:t>
            </w:r>
          </w:p>
        </w:tc>
        <w:tc>
          <w:tcPr>
            <w:tcW w:w="437" w:type="pct"/>
            <w:tcBorders>
              <w:tl2br w:val="nil"/>
              <w:tr2bl w:val="nil"/>
            </w:tcBorders>
            <w:vAlign w:val="center"/>
          </w:tcPr>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已按</w:t>
            </w:r>
          </w:p>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批复</w:t>
            </w:r>
          </w:p>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要求</w:t>
            </w:r>
          </w:p>
          <w:p>
            <w:pPr>
              <w:keepNext w:val="0"/>
              <w:keepLines w:val="0"/>
              <w:suppressLineNumbers w:val="0"/>
              <w:adjustRightInd w:val="0"/>
              <w:spacing w:before="0" w:beforeAutospacing="0" w:after="0" w:afterAutospacing="0" w:line="360" w:lineRule="auto"/>
              <w:ind w:right="0" w:rightChars="0"/>
              <w:jc w:val="center"/>
              <w:rPr>
                <w:rFonts w:hint="eastAsia" w:ascii="Times New Roman" w:hAnsi="Times New Roman" w:eastAsia="宋体" w:cs="Times New Roman"/>
                <w:color w:val="auto"/>
                <w:kern w:val="2"/>
                <w:sz w:val="24"/>
                <w:szCs w:val="24"/>
                <w:highlight w:val="none"/>
                <w:lang w:val="en-US" w:eastAsia="zh-CN" w:bidi="ar-SA"/>
              </w:rPr>
            </w:pPr>
            <w:r>
              <w:rPr>
                <w:rFonts w:hint="eastAsia" w:ascii="Times New Roman" w:hAnsi="Times New Roman" w:eastAsia="宋体" w:cs="Times New Roman"/>
                <w:color w:val="auto"/>
                <w:sz w:val="24"/>
                <w:szCs w:val="24"/>
                <w:highlight w:val="none"/>
                <w:lang w:val="en-US" w:eastAsia="zh-CN"/>
              </w:rPr>
              <w:t>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153" w:hRule="atLeast"/>
          <w:jc w:val="center"/>
        </w:trPr>
        <w:tc>
          <w:tcPr>
            <w:tcW w:w="508"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施工期固废</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b/>
                <w:color w:val="auto"/>
                <w:w w:val="100"/>
                <w:sz w:val="24"/>
                <w:szCs w:val="24"/>
                <w:vertAlign w:val="baseline"/>
                <w:lang w:eastAsia="zh-CN"/>
              </w:rPr>
            </w:pPr>
            <w:r>
              <w:rPr>
                <w:rFonts w:hint="eastAsia"/>
                <w:b/>
                <w:color w:val="auto"/>
                <w:w w:val="100"/>
                <w:sz w:val="24"/>
                <w:szCs w:val="24"/>
                <w:vertAlign w:val="baseline"/>
                <w:lang w:eastAsia="zh-CN"/>
              </w:rPr>
              <w:t>管理</w:t>
            </w:r>
          </w:p>
        </w:tc>
        <w:tc>
          <w:tcPr>
            <w:tcW w:w="1901" w:type="pc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336" w:lineRule="auto"/>
              <w:ind w:left="0" w:right="0"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highlight w:val="none"/>
                <w:lang w:val="en-US" w:eastAsia="zh-CN"/>
              </w:rPr>
              <w:t>按固体废物“资源化、减量化、无害化”处置原则，落实各类固体废物的收集、分类处置和综合利用措施。</w:t>
            </w:r>
          </w:p>
        </w:tc>
        <w:tc>
          <w:tcPr>
            <w:tcW w:w="2152"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val="0"/>
              <w:snapToGrid/>
              <w:spacing w:line="336" w:lineRule="auto"/>
              <w:ind w:right="0" w:rightChars="0" w:firstLine="480" w:firstLineChars="200"/>
              <w:jc w:val="both"/>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本项目目前已全部建设完成。</w:t>
            </w:r>
          </w:p>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336" w:lineRule="auto"/>
              <w:ind w:left="0" w:right="0" w:firstLine="480" w:firstLineChars="200"/>
              <w:textAlignment w:val="auto"/>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施工期间，</w:t>
            </w:r>
            <w:r>
              <w:rPr>
                <w:rFonts w:hint="eastAsia" w:cs="Times New Roman"/>
                <w:color w:val="auto"/>
                <w:sz w:val="24"/>
                <w:szCs w:val="24"/>
                <w:highlight w:val="none"/>
                <w:lang w:val="en-US" w:eastAsia="zh-CN"/>
              </w:rPr>
              <w:t>建筑垃圾全部外售废旧物资回收部门进行综合利用，生活垃圾均委托环卫部门进行清运处理，</w:t>
            </w:r>
            <w:r>
              <w:rPr>
                <w:rFonts w:hint="eastAsia" w:ascii="Times New Roman" w:hAnsi="Times New Roman" w:eastAsia="宋体" w:cs="Times New Roman"/>
                <w:color w:val="auto"/>
                <w:sz w:val="24"/>
                <w:highlight w:val="none"/>
                <w:lang w:val="en-US" w:eastAsia="zh-CN"/>
              </w:rPr>
              <w:t>经调查了解，</w:t>
            </w:r>
            <w:r>
              <w:rPr>
                <w:rFonts w:hint="eastAsia" w:ascii="Times New Roman" w:hAnsi="Times New Roman" w:eastAsia="宋体" w:cs="Times New Roman"/>
                <w:color w:val="auto"/>
                <w:sz w:val="24"/>
                <w:szCs w:val="24"/>
                <w:highlight w:val="none"/>
                <w:lang w:val="en-US" w:eastAsia="zh-CN"/>
              </w:rPr>
              <w:t>本项目未因固废污染环境问题受到举报或投诉，未因此产生遗留的生态环境问题。</w:t>
            </w:r>
            <w:r>
              <w:rPr>
                <w:rFonts w:hint="eastAsia" w:cs="Times New Roman"/>
                <w:color w:val="auto"/>
                <w:sz w:val="24"/>
                <w:szCs w:val="24"/>
                <w:highlight w:val="none"/>
                <w:lang w:val="en-US" w:eastAsia="zh-CN"/>
              </w:rPr>
              <w:t xml:space="preserve">  </w:t>
            </w:r>
          </w:p>
        </w:tc>
        <w:tc>
          <w:tcPr>
            <w:tcW w:w="437" w:type="pct"/>
            <w:tcBorders>
              <w:tl2br w:val="nil"/>
              <w:tr2bl w:val="nil"/>
            </w:tcBorders>
            <w:vAlign w:val="center"/>
          </w:tcPr>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已按批复要求落实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730" w:hRule="atLeast"/>
          <w:jc w:val="center"/>
        </w:trPr>
        <w:tc>
          <w:tcPr>
            <w:tcW w:w="508"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center"/>
              <w:textAlignment w:val="auto"/>
              <w:outlineLvl w:val="9"/>
              <w:rPr>
                <w:rFonts w:hint="eastAsia"/>
                <w:b/>
                <w:color w:val="auto"/>
                <w:w w:val="100"/>
                <w:sz w:val="24"/>
                <w:szCs w:val="24"/>
                <w:vertAlign w:val="baseline"/>
                <w:lang w:val="en-US" w:eastAsia="zh-CN"/>
              </w:rPr>
            </w:pPr>
            <w:r>
              <w:rPr>
                <w:rFonts w:hint="eastAsia"/>
                <w:b/>
                <w:color w:val="auto"/>
                <w:w w:val="100"/>
                <w:sz w:val="24"/>
                <w:szCs w:val="24"/>
                <w:vertAlign w:val="baseline"/>
                <w:lang w:val="en-US" w:eastAsia="zh-CN"/>
              </w:rPr>
              <w:t>施工期生态</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center"/>
              <w:textAlignment w:val="auto"/>
              <w:outlineLvl w:val="9"/>
              <w:rPr>
                <w:rFonts w:hint="eastAsia" w:ascii="Times New Roman" w:hAnsi="Times New Roman" w:eastAsia="宋体" w:cs="Times New Roman"/>
                <w:color w:val="auto"/>
                <w:sz w:val="24"/>
                <w:szCs w:val="24"/>
                <w:highlight w:val="none"/>
                <w:lang w:val="en-US" w:eastAsia="zh-CN"/>
              </w:rPr>
            </w:pPr>
            <w:r>
              <w:rPr>
                <w:rFonts w:hint="eastAsia"/>
                <w:b/>
                <w:color w:val="auto"/>
                <w:w w:val="100"/>
                <w:sz w:val="24"/>
                <w:szCs w:val="24"/>
                <w:vertAlign w:val="baseline"/>
                <w:lang w:val="en-US" w:eastAsia="zh-CN"/>
              </w:rPr>
              <w:t>管理</w:t>
            </w:r>
          </w:p>
        </w:tc>
        <w:tc>
          <w:tcPr>
            <w:tcW w:w="1901" w:type="pc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val="0"/>
              <w:snapToGrid/>
              <w:spacing w:before="0" w:beforeAutospacing="0" w:after="0" w:afterAutospacing="0" w:line="360" w:lineRule="auto"/>
              <w:ind w:left="0" w:right="0" w:firstLine="480" w:firstLineChars="200"/>
              <w:textAlignment w:val="auto"/>
              <w:rPr>
                <w:rFonts w:hint="default"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highlight w:val="none"/>
                <w:lang w:val="en-US" w:eastAsia="zh-CN"/>
              </w:rPr>
              <w:t>落实生态保护措施。加强管线施工管理，不得擅自扩大临时施工场地严禁向河道倾倒固废垃圾、生活污水，施工便道尽量利用现有道路，减少临时占地面积等，严格落实各项土地资源、植物资源、动物资源、水库、永久基本农田等保护措施。不在永久基本农田设置临时堆土场，施工时采用耕地耕作层土壤剥离再利用等工程技术措施，减少对耕作层的破坏</w:t>
            </w:r>
            <w:r>
              <w:rPr>
                <w:rFonts w:hint="eastAsia"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禁止在施工作业带场地四处乱挖</w:t>
            </w:r>
            <w:r>
              <w:rPr>
                <w:rFonts w:hint="eastAsia"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地面基本保持平整</w:t>
            </w:r>
            <w:r>
              <w:rPr>
                <w:rFonts w:hint="eastAsia"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根据施工作业带所处地形和挖深，采取相应措施减小水土流失</w:t>
            </w:r>
            <w:r>
              <w:rPr>
                <w:rFonts w:hint="eastAsia"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严格落实临时用地恢复责任，临时用地到期后一年内时进行复垦恢复原种植条件，落实土地复垦验收要求。按照报告表提出的生态环境保护和防治水土流失措施，做好</w:t>
            </w:r>
            <w:r>
              <w:rPr>
                <w:rFonts w:hint="eastAsia" w:cs="Times New Roman"/>
                <w:color w:val="auto"/>
                <w:sz w:val="24"/>
                <w:highlight w:val="none"/>
                <w:lang w:val="en-US" w:eastAsia="zh-CN"/>
              </w:rPr>
              <w:t>生态保护和水土保持工作。</w:t>
            </w:r>
          </w:p>
        </w:tc>
        <w:tc>
          <w:tcPr>
            <w:tcW w:w="2152"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本项目目前已全部建设完成。</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项目施工期间，严格按照道路刨掘、施工许可手续进行建设，并采取了剥离表土定点堆放、遮盖、拦挡等相应临时保护措施，施工完毕后及时对林地农田等进行了植被及种植恢复。</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highlight w:val="none"/>
                <w:lang w:val="en-US" w:eastAsia="zh-CN"/>
              </w:rPr>
              <w:t>经调查了解，</w:t>
            </w:r>
            <w:r>
              <w:rPr>
                <w:rFonts w:hint="eastAsia" w:ascii="Times New Roman" w:hAnsi="Times New Roman" w:eastAsia="宋体" w:cs="Times New Roman"/>
                <w:color w:val="auto"/>
                <w:sz w:val="24"/>
                <w:szCs w:val="24"/>
                <w:highlight w:val="none"/>
                <w:lang w:val="en-US" w:eastAsia="zh-CN"/>
              </w:rPr>
              <w:t>在施工期间，本项目未因扬尘或废水外排等环境污染问题受到举报或投诉，未因此产生遗留的生态环境问题。</w:t>
            </w:r>
          </w:p>
        </w:tc>
        <w:tc>
          <w:tcPr>
            <w:tcW w:w="437" w:type="pct"/>
            <w:tcBorders>
              <w:tl2br w:val="nil"/>
              <w:tr2bl w:val="nil"/>
            </w:tcBorders>
            <w:vAlign w:val="center"/>
          </w:tcPr>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已按批复</w:t>
            </w:r>
          </w:p>
          <w:p>
            <w:pPr>
              <w:keepNext w:val="0"/>
              <w:keepLines w:val="0"/>
              <w:suppressLineNumbers w:val="0"/>
              <w:adjustRightInd w:val="0"/>
              <w:spacing w:before="0" w:beforeAutospacing="0" w:after="0" w:afterAutospacing="0" w:line="360" w:lineRule="auto"/>
              <w:ind w:right="0"/>
              <w:jc w:val="center"/>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要求落实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230" w:hRule="atLeast"/>
          <w:jc w:val="center"/>
        </w:trPr>
        <w:tc>
          <w:tcPr>
            <w:tcW w:w="508"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center"/>
              <w:textAlignment w:val="auto"/>
              <w:outlineLvl w:val="9"/>
              <w:rPr>
                <w:rFonts w:hint="eastAsia"/>
                <w:b/>
                <w:color w:val="auto"/>
                <w:w w:val="100"/>
                <w:sz w:val="24"/>
                <w:szCs w:val="24"/>
                <w:vertAlign w:val="baseline"/>
                <w:lang w:val="en-US" w:eastAsia="zh-CN"/>
              </w:rPr>
            </w:pPr>
            <w:r>
              <w:rPr>
                <w:rFonts w:hint="eastAsia"/>
                <w:b/>
                <w:color w:val="auto"/>
                <w:w w:val="100"/>
                <w:sz w:val="24"/>
                <w:szCs w:val="24"/>
                <w:vertAlign w:val="baseline"/>
                <w:lang w:val="en-US" w:eastAsia="zh-CN"/>
              </w:rPr>
              <w:t>施工期风险</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center"/>
              <w:textAlignment w:val="auto"/>
              <w:outlineLvl w:val="9"/>
              <w:rPr>
                <w:rFonts w:hint="eastAsia" w:ascii="Times New Roman" w:hAnsi="Times New Roman" w:eastAsia="宋体" w:cs="Times New Roman"/>
                <w:color w:val="auto"/>
                <w:sz w:val="24"/>
                <w:szCs w:val="24"/>
                <w:highlight w:val="none"/>
                <w:lang w:val="en-US" w:eastAsia="zh-CN"/>
              </w:rPr>
            </w:pPr>
            <w:r>
              <w:rPr>
                <w:rFonts w:hint="eastAsia"/>
                <w:b/>
                <w:color w:val="auto"/>
                <w:w w:val="100"/>
                <w:sz w:val="24"/>
                <w:szCs w:val="24"/>
                <w:vertAlign w:val="baseline"/>
                <w:lang w:val="en-US" w:eastAsia="zh-CN"/>
              </w:rPr>
              <w:t>管理</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cs="Times New Roman"/>
                <w:color w:val="auto"/>
                <w:sz w:val="24"/>
                <w:highlight w:val="none"/>
                <w:lang w:val="en-US" w:eastAsia="zh-CN"/>
              </w:rPr>
            </w:pPr>
            <w:r>
              <w:rPr>
                <w:rFonts w:hint="eastAsia" w:cs="Times New Roman"/>
                <w:color w:val="auto"/>
                <w:sz w:val="24"/>
                <w:highlight w:val="none"/>
                <w:lang w:val="en-US" w:eastAsia="zh-CN"/>
              </w:rPr>
              <w:t>严格落实报告表提出的环境风险防范措施，设置泄漏检测光纤设施监测供热管网的安全,落实各项生态环境安全防范工作责任,有效防范和应对环境风险。</w:t>
            </w:r>
          </w:p>
        </w:tc>
        <w:tc>
          <w:tcPr>
            <w:tcW w:w="2152"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eastAsia" w:cs="Times New Roman"/>
                <w:color w:val="auto"/>
                <w:sz w:val="24"/>
                <w:highlight w:val="none"/>
                <w:lang w:val="en-US" w:eastAsia="zh-CN"/>
              </w:rPr>
            </w:pPr>
            <w:r>
              <w:rPr>
                <w:rFonts w:hint="default" w:cs="Times New Roman"/>
                <w:color w:val="auto"/>
                <w:sz w:val="24"/>
                <w:highlight w:val="none"/>
                <w:lang w:val="en-US" w:eastAsia="zh-CN"/>
              </w:rPr>
              <w:t>本项目施工期采用的施工方法和施工设备均比较成熟可靠合理，不存在较大的环境风险源，对环境影响较小。</w:t>
            </w:r>
            <w:r>
              <w:rPr>
                <w:rFonts w:hint="eastAsia" w:cs="Times New Roman"/>
                <w:color w:val="auto"/>
                <w:sz w:val="24"/>
                <w:highlight w:val="none"/>
                <w:lang w:val="en-US" w:eastAsia="zh-CN"/>
              </w:rPr>
              <w:t>日常管理中，济南热力集团有限公司制定了《环境保护管理制度》，对建设项目及施工过程环境保护管理均做了明确要求。</w:t>
            </w:r>
            <w:r>
              <w:rPr>
                <w:rFonts w:hint="eastAsia" w:ascii="Times New Roman" w:hAnsi="Times New Roman" w:eastAsia="宋体" w:cs="Times New Roman"/>
                <w:color w:val="auto"/>
                <w:sz w:val="24"/>
                <w:highlight w:val="none"/>
                <w:lang w:val="en-US" w:eastAsia="zh-CN"/>
              </w:rPr>
              <w:t>经调查了解，</w:t>
            </w:r>
            <w:r>
              <w:rPr>
                <w:rFonts w:hint="eastAsia" w:cs="Times New Roman"/>
                <w:color w:val="auto"/>
                <w:sz w:val="24"/>
                <w:highlight w:val="none"/>
                <w:lang w:val="en-US" w:eastAsia="zh-CN"/>
              </w:rPr>
              <w:t>本项目设置了泄漏检测光纤设施，能够及时通过传感器观测温度及振动情况。</w:t>
            </w:r>
          </w:p>
        </w:tc>
        <w:tc>
          <w:tcPr>
            <w:tcW w:w="437"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已按批复要求落实</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744" w:hRule="atLeast"/>
          <w:jc w:val="center"/>
        </w:trPr>
        <w:tc>
          <w:tcPr>
            <w:tcW w:w="508"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ascii="Times New Roman" w:hAnsi="Times New Roman" w:eastAsia="宋体" w:cs="Times New Roman"/>
                <w:b/>
                <w:color w:val="auto"/>
                <w:w w:val="100"/>
                <w:sz w:val="24"/>
                <w:szCs w:val="24"/>
                <w:vertAlign w:val="baseline"/>
                <w:lang w:val="en-US" w:eastAsia="zh-CN"/>
              </w:rPr>
            </w:pPr>
            <w:r>
              <w:rPr>
                <w:rFonts w:hint="eastAsia" w:ascii="Times New Roman" w:hAnsi="Times New Roman" w:eastAsia="宋体" w:cs="Times New Roman"/>
                <w:b/>
                <w:color w:val="auto"/>
                <w:w w:val="100"/>
                <w:sz w:val="24"/>
                <w:szCs w:val="24"/>
                <w:vertAlign w:val="baseline"/>
                <w:lang w:val="en-US" w:eastAsia="zh-CN"/>
              </w:rPr>
              <w:t>其他</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right="0" w:rightChars="0" w:firstLine="0" w:firstLineChars="0"/>
              <w:jc w:val="center"/>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b/>
                <w:color w:val="auto"/>
                <w:w w:val="100"/>
                <w:sz w:val="24"/>
                <w:szCs w:val="24"/>
                <w:vertAlign w:val="baseline"/>
                <w:lang w:val="en-US" w:eastAsia="zh-CN"/>
              </w:rPr>
              <w:t>要求</w:t>
            </w:r>
          </w:p>
        </w:tc>
        <w:tc>
          <w:tcPr>
            <w:tcW w:w="1901" w:type="pct"/>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highlight w:val="none"/>
                <w:lang w:val="en-US" w:eastAsia="zh-CN"/>
              </w:rPr>
              <w:t>严格按照法律法规要求履行有关永久基本农田穿越手续，申请临时用地并编制土地复垦方案进行备案，依法办理规划、水影响评价、考古调查等有关手续，并按照法定程序经批准后实施。</w:t>
            </w:r>
          </w:p>
        </w:tc>
        <w:tc>
          <w:tcPr>
            <w:tcW w:w="2152"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cs="Times New Roman"/>
                <w:color w:val="auto"/>
                <w:sz w:val="24"/>
                <w:szCs w:val="24"/>
                <w:highlight w:val="none"/>
                <w:lang w:val="en-US" w:eastAsia="zh-CN"/>
              </w:rPr>
            </w:pPr>
            <w:r>
              <w:rPr>
                <w:rFonts w:hint="eastAsia" w:cs="Times New Roman"/>
                <w:color w:val="auto"/>
                <w:sz w:val="24"/>
                <w:szCs w:val="24"/>
                <w:highlight w:val="none"/>
                <w:lang w:val="en-US" w:eastAsia="zh-CN"/>
              </w:rPr>
              <w:t>本项目在建设前，已依法向肥城市水利局、肥城市文化和旅游局、肥城市自然资源和规划局、肥城市行政审批局、石横镇人民政府等部门依法办理了规划、水保、考古等审批手续。</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default" w:ascii="Times New Roman" w:hAnsi="Times New Roman" w:eastAsia="宋体" w:cs="Times New Roman"/>
                <w:color w:val="auto"/>
                <w:sz w:val="24"/>
                <w:szCs w:val="24"/>
                <w:highlight w:val="none"/>
                <w:lang w:val="en-US" w:eastAsia="zh-CN"/>
              </w:rPr>
            </w:pPr>
            <w:r>
              <w:rPr>
                <w:rFonts w:hint="eastAsia" w:cs="Times New Roman"/>
                <w:color w:val="auto"/>
                <w:sz w:val="24"/>
                <w:szCs w:val="24"/>
                <w:highlight w:val="none"/>
                <w:lang w:val="en-US" w:eastAsia="zh-CN"/>
              </w:rPr>
              <w:t>在施工过程中，本项目严格按照管理要求对沿线各类地下管线和地面设施采取了切实可行的保护措施，未因此产生遗留的生态环境问题。</w:t>
            </w:r>
          </w:p>
        </w:tc>
        <w:tc>
          <w:tcPr>
            <w:tcW w:w="437" w:type="pct"/>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center"/>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已按批复要求落实</w:t>
            </w:r>
          </w:p>
        </w:tc>
      </w:tr>
    </w:tbl>
    <w:p>
      <w:pPr>
        <w:pStyle w:val="2"/>
        <w:jc w:val="center"/>
        <w:rPr>
          <w:rFonts w:hint="default" w:ascii="Times New Roman" w:hAnsi="Times New Roman"/>
          <w:b/>
          <w:color w:val="auto"/>
          <w:sz w:val="32"/>
        </w:rPr>
      </w:pPr>
      <w:bookmarkStart w:id="0" w:name="page23"/>
      <w:bookmarkEnd w:id="0"/>
      <w:r>
        <w:rPr>
          <w:rFonts w:hint="default" w:ascii="Times New Roman" w:hAnsi="Times New Roman"/>
          <w:b/>
          <w:color w:val="auto"/>
          <w:sz w:val="32"/>
        </w:rPr>
        <w:t>表 7 环境影响调查</w:t>
      </w:r>
    </w:p>
    <w:tbl>
      <w:tblPr>
        <w:tblStyle w:val="22"/>
        <w:tblpPr w:leftFromText="180" w:rightFromText="180" w:vertAnchor="text" w:tblpX="-91" w:tblpY="1"/>
        <w:tblOverlap w:val="never"/>
        <w:tblW w:w="9806"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772"/>
        <w:gridCol w:w="1065"/>
        <w:gridCol w:w="796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0" w:hRule="atLeast"/>
        </w:trPr>
        <w:tc>
          <w:tcPr>
            <w:tcW w:w="772" w:type="dxa"/>
            <w:vMerge w:val="restart"/>
            <w:tcBorders>
              <w:tl2br w:val="nil"/>
              <w:tr2bl w:val="nil"/>
            </w:tcBorders>
            <w:vAlign w:val="center"/>
          </w:tcPr>
          <w:p>
            <w:pPr>
              <w:spacing w:line="274" w:lineRule="exact"/>
              <w:jc w:val="center"/>
              <w:rPr>
                <w:b/>
                <w:bCs/>
                <w:color w:val="auto"/>
                <w:sz w:val="24"/>
                <w:szCs w:val="24"/>
              </w:rPr>
            </w:pPr>
            <w:r>
              <w:rPr>
                <w:b/>
                <w:bCs/>
                <w:color w:val="auto"/>
                <w:sz w:val="24"/>
                <w:szCs w:val="24"/>
              </w:rPr>
              <w:t>施</w:t>
            </w:r>
          </w:p>
          <w:p>
            <w:pPr>
              <w:spacing w:line="274" w:lineRule="exact"/>
              <w:jc w:val="center"/>
              <w:rPr>
                <w:b/>
                <w:bCs/>
                <w:color w:val="auto"/>
                <w:sz w:val="24"/>
                <w:szCs w:val="24"/>
              </w:rPr>
            </w:pPr>
            <w:r>
              <w:rPr>
                <w:b/>
                <w:bCs/>
                <w:color w:val="auto"/>
                <w:sz w:val="24"/>
                <w:szCs w:val="24"/>
              </w:rPr>
              <w:t>工</w:t>
            </w:r>
          </w:p>
          <w:p>
            <w:pPr>
              <w:spacing w:line="274" w:lineRule="exact"/>
              <w:jc w:val="center"/>
              <w:rPr>
                <w:color w:val="auto"/>
                <w:sz w:val="24"/>
                <w:szCs w:val="24"/>
              </w:rPr>
            </w:pPr>
            <w:r>
              <w:rPr>
                <w:b/>
                <w:bCs/>
                <w:color w:val="auto"/>
                <w:sz w:val="24"/>
                <w:szCs w:val="24"/>
              </w:rPr>
              <w:t>期</w:t>
            </w:r>
          </w:p>
        </w:tc>
        <w:tc>
          <w:tcPr>
            <w:tcW w:w="1065" w:type="dxa"/>
            <w:tcBorders>
              <w:tl2br w:val="nil"/>
              <w:tr2bl w:val="nil"/>
            </w:tcBorders>
            <w:vAlign w:val="center"/>
          </w:tcPr>
          <w:p>
            <w:pPr>
              <w:spacing w:line="360" w:lineRule="auto"/>
              <w:jc w:val="center"/>
              <w:rPr>
                <w:b/>
                <w:bCs/>
                <w:color w:val="auto"/>
                <w:sz w:val="24"/>
                <w:szCs w:val="24"/>
              </w:rPr>
            </w:pPr>
            <w:r>
              <w:rPr>
                <w:b/>
                <w:bCs/>
                <w:color w:val="auto"/>
                <w:sz w:val="24"/>
                <w:szCs w:val="24"/>
              </w:rPr>
              <w:t>生态</w:t>
            </w:r>
          </w:p>
          <w:p>
            <w:pPr>
              <w:spacing w:line="360" w:lineRule="auto"/>
              <w:jc w:val="center"/>
              <w:rPr>
                <w:color w:val="auto"/>
                <w:sz w:val="24"/>
                <w:szCs w:val="24"/>
              </w:rPr>
            </w:pPr>
            <w:r>
              <w:rPr>
                <w:b/>
                <w:bCs/>
                <w:color w:val="auto"/>
                <w:sz w:val="24"/>
                <w:szCs w:val="24"/>
              </w:rPr>
              <w:t>影响</w:t>
            </w:r>
          </w:p>
        </w:tc>
        <w:tc>
          <w:tcPr>
            <w:tcW w:w="7969" w:type="dxa"/>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color w:val="auto"/>
                <w:sz w:val="24"/>
                <w:szCs w:val="24"/>
              </w:rPr>
            </w:pPr>
            <w:r>
              <w:rPr>
                <w:rFonts w:hint="eastAsia" w:ascii="Times New Roman" w:hAnsi="Times New Roman" w:eastAsia="宋体" w:cs="Times New Roman"/>
                <w:color w:val="auto"/>
                <w:sz w:val="24"/>
                <w:highlight w:val="none"/>
                <w:lang w:val="en-US" w:eastAsia="zh-CN"/>
              </w:rPr>
              <w:t>本项目施工期临时占用</w:t>
            </w:r>
            <w:r>
              <w:rPr>
                <w:rFonts w:hint="eastAsia" w:cs="Times New Roman"/>
                <w:color w:val="auto"/>
                <w:sz w:val="24"/>
                <w:highlight w:val="none"/>
                <w:lang w:val="en-US" w:eastAsia="zh-CN"/>
              </w:rPr>
              <w:t>管道</w:t>
            </w:r>
            <w:r>
              <w:rPr>
                <w:rFonts w:hint="eastAsia" w:ascii="Times New Roman" w:hAnsi="Times New Roman" w:eastAsia="宋体" w:cs="Times New Roman"/>
                <w:color w:val="auto"/>
                <w:sz w:val="24"/>
                <w:highlight w:val="none"/>
                <w:lang w:val="en-US" w:eastAsia="zh-CN"/>
              </w:rPr>
              <w:t>沿线林地、草地及部分道路用地，对生态影响主要表现在</w:t>
            </w:r>
            <w:r>
              <w:rPr>
                <w:rFonts w:hint="default" w:ascii="Times New Roman" w:hAnsi="Times New Roman" w:eastAsia="宋体" w:cs="Times New Roman"/>
                <w:color w:val="auto"/>
                <w:sz w:val="24"/>
                <w:highlight w:val="none"/>
                <w:lang w:val="en-US" w:eastAsia="zh-CN"/>
              </w:rPr>
              <w:t>土地利用方式、生物、水土流失、景观生态等方面。</w:t>
            </w:r>
            <w:r>
              <w:rPr>
                <w:rFonts w:hint="eastAsia" w:ascii="Times New Roman" w:hAnsi="Times New Roman" w:eastAsia="宋体" w:cs="Times New Roman"/>
                <w:color w:val="auto"/>
                <w:sz w:val="24"/>
                <w:highlight w:val="none"/>
                <w:lang w:val="en-US" w:eastAsia="zh-CN"/>
              </w:rPr>
              <w:t>机械化施工会对场地土壤或地表植被造成影响，从而造成占地区域内水土保持功能降低或丧失，由于植被的破坏，对占地区景观环境影响也较大。此外，也对动物的活动区域、觅食范围等造成了阻隔影响，生物多样性也随之降低，导致占地区域的生态平衡遭到破坏。由于</w:t>
            </w:r>
            <w:r>
              <w:rPr>
                <w:rFonts w:hint="eastAsia" w:cs="Times New Roman"/>
                <w:color w:val="auto"/>
                <w:sz w:val="24"/>
                <w:highlight w:val="none"/>
                <w:lang w:val="en-US" w:eastAsia="zh-CN"/>
              </w:rPr>
              <w:t>本项目为</w:t>
            </w:r>
            <w:r>
              <w:rPr>
                <w:rFonts w:hint="eastAsia" w:ascii="Times New Roman" w:hAnsi="Times New Roman" w:eastAsia="宋体" w:cs="Times New Roman"/>
                <w:color w:val="auto"/>
                <w:sz w:val="24"/>
                <w:highlight w:val="none"/>
                <w:lang w:val="en-US" w:eastAsia="zh-CN"/>
              </w:rPr>
              <w:t>供热管线建设，施工过程中造成的影响是暂时的，在土方回填压实后，因施工破坏而影响水土流失的各种因素在各项水土保持措施后逐渐消失，并且随着时间的推移，各项措施的水土保持功能得到发挥，生态环境得到恢复和改善，水土流失量逐渐减少，直至达到新的稳定状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102" w:hRule="atLeast"/>
        </w:trPr>
        <w:tc>
          <w:tcPr>
            <w:tcW w:w="772" w:type="dxa"/>
            <w:vMerge w:val="continue"/>
            <w:tcBorders>
              <w:tl2br w:val="nil"/>
              <w:tr2bl w:val="nil"/>
            </w:tcBorders>
            <w:vAlign w:val="center"/>
          </w:tcPr>
          <w:p>
            <w:pPr>
              <w:spacing w:line="274" w:lineRule="exact"/>
              <w:jc w:val="center"/>
              <w:rPr>
                <w:color w:val="auto"/>
                <w:sz w:val="24"/>
                <w:szCs w:val="24"/>
              </w:rPr>
            </w:pPr>
          </w:p>
        </w:tc>
        <w:tc>
          <w:tcPr>
            <w:tcW w:w="1065" w:type="dxa"/>
            <w:tcBorders>
              <w:tl2br w:val="nil"/>
              <w:tr2bl w:val="nil"/>
            </w:tcBorders>
            <w:vAlign w:val="center"/>
          </w:tcPr>
          <w:p>
            <w:pPr>
              <w:spacing w:line="360" w:lineRule="auto"/>
              <w:jc w:val="center"/>
              <w:rPr>
                <w:rFonts w:hint="eastAsia"/>
                <w:b/>
                <w:bCs/>
                <w:color w:val="auto"/>
                <w:sz w:val="24"/>
                <w:szCs w:val="24"/>
                <w:lang w:eastAsia="zh-CN"/>
              </w:rPr>
            </w:pPr>
            <w:r>
              <w:rPr>
                <w:rFonts w:hint="eastAsia"/>
                <w:b/>
                <w:bCs/>
                <w:color w:val="auto"/>
                <w:sz w:val="24"/>
                <w:szCs w:val="24"/>
                <w:lang w:eastAsia="zh-CN"/>
              </w:rPr>
              <w:t>污染</w:t>
            </w:r>
          </w:p>
          <w:p>
            <w:pPr>
              <w:spacing w:line="360" w:lineRule="auto"/>
              <w:jc w:val="center"/>
              <w:rPr>
                <w:color w:val="auto"/>
                <w:sz w:val="24"/>
                <w:szCs w:val="24"/>
              </w:rPr>
            </w:pPr>
            <w:r>
              <w:rPr>
                <w:b/>
                <w:bCs/>
                <w:color w:val="auto"/>
                <w:sz w:val="24"/>
                <w:szCs w:val="24"/>
              </w:rPr>
              <w:t>影响</w:t>
            </w:r>
          </w:p>
        </w:tc>
        <w:tc>
          <w:tcPr>
            <w:tcW w:w="7969" w:type="dxa"/>
            <w:tcBorders>
              <w:tl2br w:val="nil"/>
              <w:tr2bl w:val="nil"/>
            </w:tcBorders>
            <w:vAlign w:val="center"/>
          </w:tcPr>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1、废气</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lang w:eastAsia="zh-CN"/>
              </w:rPr>
              <w:t>本项目施工期废气主要是扬尘（</w:t>
            </w:r>
            <w:r>
              <w:rPr>
                <w:rFonts w:hint="eastAsia" w:ascii="Times New Roman" w:hAnsi="Times New Roman" w:eastAsia="宋体" w:cs="Times New Roman"/>
                <w:color w:val="auto"/>
                <w:sz w:val="24"/>
                <w:highlight w:val="none"/>
                <w:lang w:val="en-US" w:eastAsia="zh-CN"/>
              </w:rPr>
              <w:t>TSP</w:t>
            </w:r>
            <w:r>
              <w:rPr>
                <w:rFonts w:hint="eastAsia" w:ascii="Times New Roman" w:hAnsi="Times New Roman" w:eastAsia="宋体" w:cs="Times New Roman"/>
                <w:color w:val="auto"/>
                <w:sz w:val="24"/>
                <w:highlight w:val="none"/>
                <w:lang w:eastAsia="zh-CN"/>
              </w:rPr>
              <w:t>）和燃油废气，主要污染因子为CO、NOx和THC等，扬尘主要来源于土方挖掘填埋作业、物料运输车辆作业等，燃油废气主要来源于运输车辆及工程动力设备运转产生。按照</w:t>
            </w:r>
            <w:r>
              <w:rPr>
                <w:rFonts w:hint="eastAsia" w:cs="Times New Roman"/>
                <w:color w:val="auto"/>
                <w:sz w:val="24"/>
                <w:highlight w:val="none"/>
                <w:lang w:eastAsia="zh-CN"/>
              </w:rPr>
              <w:t>要求，本项目在</w:t>
            </w:r>
            <w:r>
              <w:rPr>
                <w:rFonts w:hint="eastAsia" w:ascii="Times New Roman" w:hAnsi="Times New Roman" w:eastAsia="宋体" w:cs="Times New Roman"/>
                <w:color w:val="auto"/>
                <w:sz w:val="24"/>
                <w:highlight w:val="none"/>
                <w:lang w:eastAsia="zh-CN"/>
              </w:rPr>
              <w:t>施工过程中</w:t>
            </w:r>
            <w:r>
              <w:rPr>
                <w:rFonts w:hint="default" w:ascii="Times New Roman" w:hAnsi="Times New Roman" w:eastAsia="宋体" w:cs="Times New Roman"/>
                <w:color w:val="auto"/>
                <w:sz w:val="24"/>
                <w:highlight w:val="none"/>
                <w:lang w:eastAsia="zh-CN"/>
              </w:rPr>
              <w:t>配备并规范使用</w:t>
            </w:r>
            <w:r>
              <w:rPr>
                <w:rFonts w:hint="eastAsia" w:cs="Times New Roman"/>
                <w:color w:val="auto"/>
                <w:sz w:val="24"/>
                <w:highlight w:val="none"/>
                <w:lang w:eastAsia="zh-CN"/>
              </w:rPr>
              <w:t>移动焊烟净化器，并</w:t>
            </w:r>
            <w:r>
              <w:rPr>
                <w:rFonts w:hint="eastAsia" w:ascii="Times New Roman" w:hAnsi="Times New Roman" w:eastAsia="宋体" w:cs="Times New Roman"/>
                <w:color w:val="auto"/>
                <w:sz w:val="24"/>
                <w:highlight w:val="none"/>
                <w:lang w:eastAsia="zh-CN"/>
              </w:rPr>
              <w:t>通过</w:t>
            </w:r>
            <w:r>
              <w:rPr>
                <w:rFonts w:hint="eastAsia" w:cs="Times New Roman"/>
                <w:color w:val="auto"/>
                <w:sz w:val="24"/>
                <w:highlight w:val="none"/>
                <w:lang w:eastAsia="zh-CN"/>
              </w:rPr>
              <w:t>设置洗车平台、</w:t>
            </w:r>
            <w:r>
              <w:rPr>
                <w:rFonts w:hint="eastAsia" w:ascii="Times New Roman" w:hAnsi="Times New Roman" w:eastAsia="宋体" w:cs="Times New Roman"/>
                <w:color w:val="auto"/>
                <w:sz w:val="24"/>
                <w:highlight w:val="none"/>
                <w:lang w:eastAsia="zh-CN"/>
              </w:rPr>
              <w:t>采取洒水降尘、</w:t>
            </w:r>
            <w:r>
              <w:rPr>
                <w:rFonts w:hint="eastAsia" w:cs="Times New Roman"/>
                <w:color w:val="auto"/>
                <w:sz w:val="24"/>
                <w:highlight w:val="none"/>
                <w:lang w:eastAsia="zh-CN"/>
              </w:rPr>
              <w:t>车辆</w:t>
            </w:r>
            <w:r>
              <w:rPr>
                <w:rFonts w:hint="eastAsia" w:ascii="Times New Roman" w:hAnsi="Times New Roman" w:eastAsia="宋体" w:cs="Times New Roman"/>
                <w:color w:val="auto"/>
                <w:sz w:val="24"/>
                <w:highlight w:val="none"/>
                <w:lang w:eastAsia="zh-CN"/>
              </w:rPr>
              <w:t>篷布遮盖、加水防护等措施</w:t>
            </w:r>
            <w:r>
              <w:rPr>
                <w:rFonts w:hint="eastAsia" w:cs="Times New Roman"/>
                <w:color w:val="auto"/>
                <w:sz w:val="24"/>
                <w:highlight w:val="none"/>
                <w:lang w:eastAsia="zh-CN"/>
              </w:rPr>
              <w:t>；管理方面，通过</w:t>
            </w:r>
            <w:r>
              <w:rPr>
                <w:rFonts w:hint="eastAsia" w:ascii="Times New Roman" w:hAnsi="Times New Roman" w:eastAsia="宋体" w:cs="Times New Roman"/>
                <w:color w:val="auto"/>
                <w:sz w:val="24"/>
                <w:highlight w:val="none"/>
                <w:lang w:eastAsia="zh-CN"/>
              </w:rPr>
              <w:t>加强施工计划、管理等手段等减轻对周围环境的影响</w:t>
            </w:r>
            <w:r>
              <w:rPr>
                <w:rFonts w:hint="default" w:ascii="Times New Roman" w:hAnsi="Times New Roman" w:eastAsia="宋体" w:cs="Times New Roman"/>
                <w:color w:val="auto"/>
                <w:sz w:val="24"/>
                <w:highlight w:val="none"/>
                <w:lang w:eastAsia="zh-CN"/>
              </w:rPr>
              <w:t>。</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2、废水</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本项目施工期废水主要为生活污水及少量施工废水，主要污染因子为</w:t>
            </w:r>
            <w:r>
              <w:rPr>
                <w:rFonts w:hint="default" w:ascii="Times New Roman" w:hAnsi="Times New Roman" w:eastAsia="宋体" w:cs="Times New Roman"/>
                <w:color w:val="auto"/>
                <w:sz w:val="24"/>
                <w:highlight w:val="none"/>
                <w:lang w:val="en-US" w:eastAsia="zh-CN"/>
              </w:rPr>
              <w:t>COD</w:t>
            </w:r>
            <w:r>
              <w:rPr>
                <w:rFonts w:hint="eastAsia" w:ascii="Times New Roman" w:hAnsi="Times New Roman" w:eastAsia="宋体" w:cs="Times New Roman"/>
                <w:color w:val="auto"/>
                <w:sz w:val="24"/>
                <w:highlight w:val="none"/>
                <w:lang w:val="en-US" w:eastAsia="zh-CN"/>
              </w:rPr>
              <w:t>、SS、氨氮。主要来源于施工人员办公和运输车辆清洗及雨水冲刷场地产生，生活污水</w:t>
            </w:r>
            <w:r>
              <w:rPr>
                <w:rFonts w:hint="default" w:ascii="Times New Roman" w:hAnsi="Times New Roman" w:eastAsia="宋体" w:cs="Times New Roman"/>
                <w:color w:val="auto"/>
                <w:sz w:val="24"/>
                <w:highlight w:val="none"/>
                <w:lang w:val="en-US" w:eastAsia="zh-CN"/>
              </w:rPr>
              <w:t>采取移动式生态厕所收集后直接外运</w:t>
            </w:r>
            <w:r>
              <w:rPr>
                <w:rFonts w:hint="eastAsia" w:ascii="Times New Roman" w:hAnsi="Times New Roman" w:eastAsia="宋体" w:cs="Times New Roman"/>
                <w:color w:val="auto"/>
                <w:sz w:val="24"/>
                <w:highlight w:val="none"/>
                <w:lang w:val="en-US" w:eastAsia="zh-CN"/>
              </w:rPr>
              <w:t>。</w:t>
            </w:r>
            <w:r>
              <w:rPr>
                <w:rFonts w:hint="eastAsia" w:cs="Times New Roman"/>
                <w:color w:val="auto"/>
                <w:sz w:val="24"/>
                <w:highlight w:val="none"/>
                <w:lang w:val="en-US" w:eastAsia="zh-CN"/>
              </w:rPr>
              <w:t>此外，</w:t>
            </w:r>
            <w:r>
              <w:rPr>
                <w:rFonts w:hint="eastAsia" w:ascii="Times New Roman" w:hAnsi="Times New Roman" w:eastAsia="宋体" w:cs="Times New Roman"/>
                <w:color w:val="auto"/>
                <w:sz w:val="24"/>
                <w:highlight w:val="none"/>
                <w:lang w:val="en-US" w:eastAsia="zh-CN"/>
              </w:rPr>
              <w:t>施工期会产生少量试压废水，该水为处理后的软化水，试压结束后排污市政污水管网。</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rPr>
              <w:t>3、噪声</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施工噪声主要为运输土石方及其它建筑材料的载重汽车行驶所产生的噪声，主要来源于施工作业机械，如挖掘机、定向牵引钻机、汽车吊和电焊机等设备运转，通过调整施工时间、设置移动式隔声屏障等措施减轻对周围环境的影响。</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4、固体废物</w:t>
            </w:r>
          </w:p>
          <w:p>
            <w:pPr>
              <w:keepNext w:val="0"/>
              <w:keepLines w:val="0"/>
              <w:suppressLineNumbers w:val="0"/>
              <w:adjustRightInd w:val="0"/>
              <w:spacing w:before="0" w:beforeAutospacing="0" w:after="0" w:afterAutospacing="0" w:line="360" w:lineRule="auto"/>
              <w:ind w:left="0" w:right="0" w:firstLine="480" w:firstLineChars="200"/>
              <w:rPr>
                <w:color w:val="auto"/>
                <w:lang w:val="en-US" w:eastAsia="zh-CN"/>
              </w:rPr>
            </w:pPr>
            <w:r>
              <w:rPr>
                <w:rFonts w:hint="eastAsia" w:ascii="Times New Roman" w:hAnsi="Times New Roman" w:eastAsia="宋体" w:cs="Times New Roman"/>
                <w:color w:val="auto"/>
                <w:sz w:val="24"/>
                <w:highlight w:val="none"/>
                <w:lang w:val="en-US" w:eastAsia="zh-CN"/>
              </w:rPr>
              <w:t>本项目</w:t>
            </w:r>
            <w:r>
              <w:rPr>
                <w:rFonts w:hint="default" w:ascii="Times New Roman" w:hAnsi="Times New Roman" w:eastAsia="宋体" w:cs="Times New Roman"/>
                <w:color w:val="auto"/>
                <w:sz w:val="24"/>
                <w:highlight w:val="none"/>
                <w:lang w:val="en-US" w:eastAsia="zh-CN"/>
              </w:rPr>
              <w:t>施工期产生的固体废物主要是</w:t>
            </w:r>
            <w:r>
              <w:rPr>
                <w:rFonts w:hint="eastAsia" w:cs="Times New Roman"/>
                <w:color w:val="auto"/>
                <w:sz w:val="24"/>
                <w:highlight w:val="none"/>
                <w:lang w:val="en-US" w:eastAsia="zh-CN"/>
              </w:rPr>
              <w:t>废弃土石方、施工废料和</w:t>
            </w:r>
            <w:r>
              <w:rPr>
                <w:rFonts w:hint="default" w:ascii="Times New Roman" w:hAnsi="Times New Roman" w:eastAsia="宋体" w:cs="Times New Roman"/>
                <w:color w:val="auto"/>
                <w:sz w:val="24"/>
                <w:highlight w:val="none"/>
                <w:lang w:val="en-US" w:eastAsia="zh-CN"/>
              </w:rPr>
              <w:t>生活垃圾。</w:t>
            </w:r>
            <w:r>
              <w:rPr>
                <w:rFonts w:hint="eastAsia" w:ascii="Times New Roman" w:hAnsi="Times New Roman" w:eastAsia="宋体" w:cs="Times New Roman"/>
                <w:color w:val="auto"/>
                <w:sz w:val="24"/>
                <w:highlight w:val="none"/>
                <w:lang w:val="en-US" w:eastAsia="zh-CN"/>
              </w:rPr>
              <w:t>主要来源于施工人员办公及施工过程产生的废弃建材、沥青废渣、包装材料、废抑尘网、沉淀泥浆等，经统一收集后</w:t>
            </w:r>
            <w:r>
              <w:rPr>
                <w:rFonts w:hint="eastAsia" w:cs="Times New Roman"/>
                <w:color w:val="auto"/>
                <w:sz w:val="24"/>
                <w:highlight w:val="none"/>
                <w:lang w:val="en-US" w:eastAsia="zh-CN"/>
              </w:rPr>
              <w:t>外售废旧物资回收部门进行综合利用，生活垃圾</w:t>
            </w:r>
            <w:r>
              <w:rPr>
                <w:rFonts w:hint="eastAsia" w:ascii="Times New Roman" w:hAnsi="Times New Roman" w:eastAsia="宋体" w:cs="Times New Roman"/>
                <w:color w:val="auto"/>
                <w:sz w:val="24"/>
                <w:highlight w:val="none"/>
                <w:lang w:val="en-US" w:eastAsia="zh-CN"/>
              </w:rPr>
              <w:t>由环卫部门统一清运处理。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102" w:hRule="atLeast"/>
        </w:trPr>
        <w:tc>
          <w:tcPr>
            <w:tcW w:w="772" w:type="dxa"/>
            <w:vMerge w:val="continue"/>
            <w:tcBorders>
              <w:tl2br w:val="nil"/>
              <w:tr2bl w:val="nil"/>
            </w:tcBorders>
            <w:vAlign w:val="center"/>
          </w:tcPr>
          <w:p>
            <w:pPr>
              <w:spacing w:line="274" w:lineRule="exact"/>
              <w:jc w:val="center"/>
              <w:rPr>
                <w:color w:val="auto"/>
                <w:sz w:val="24"/>
                <w:szCs w:val="24"/>
              </w:rPr>
            </w:pPr>
          </w:p>
        </w:tc>
        <w:tc>
          <w:tcPr>
            <w:tcW w:w="1065" w:type="dxa"/>
            <w:tcBorders>
              <w:tl2br w:val="nil"/>
              <w:tr2bl w:val="nil"/>
            </w:tcBorders>
            <w:vAlign w:val="center"/>
          </w:tcPr>
          <w:p>
            <w:pPr>
              <w:spacing w:line="360" w:lineRule="auto"/>
              <w:jc w:val="center"/>
              <w:rPr>
                <w:rFonts w:hint="eastAsia"/>
                <w:b/>
                <w:bCs/>
                <w:color w:val="auto"/>
                <w:sz w:val="24"/>
                <w:szCs w:val="24"/>
                <w:lang w:eastAsia="zh-CN"/>
              </w:rPr>
            </w:pPr>
            <w:r>
              <w:rPr>
                <w:rFonts w:hint="eastAsia"/>
                <w:b/>
                <w:bCs/>
                <w:color w:val="auto"/>
                <w:sz w:val="24"/>
                <w:szCs w:val="24"/>
                <w:lang w:eastAsia="zh-CN"/>
              </w:rPr>
              <w:t>社会</w:t>
            </w:r>
          </w:p>
          <w:p>
            <w:pPr>
              <w:spacing w:line="360" w:lineRule="auto"/>
              <w:jc w:val="center"/>
              <w:rPr>
                <w:rFonts w:hint="eastAsia" w:eastAsia="宋体"/>
                <w:b/>
                <w:bCs/>
                <w:color w:val="auto"/>
                <w:sz w:val="24"/>
                <w:szCs w:val="24"/>
                <w:lang w:eastAsia="zh-CN"/>
              </w:rPr>
            </w:pPr>
            <w:r>
              <w:rPr>
                <w:rFonts w:hint="eastAsia"/>
                <w:b/>
                <w:bCs/>
                <w:color w:val="auto"/>
                <w:sz w:val="24"/>
                <w:szCs w:val="24"/>
                <w:lang w:eastAsia="zh-CN"/>
              </w:rPr>
              <w:t>影响</w:t>
            </w:r>
          </w:p>
        </w:tc>
        <w:tc>
          <w:tcPr>
            <w:tcW w:w="7969"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eastAsia" w:ascii="Times New Roman" w:hAnsi="Times New Roman" w:eastAsia="宋体" w:cs="Times New Roman"/>
                <w:color w:val="auto"/>
                <w:sz w:val="24"/>
                <w:szCs w:val="24"/>
                <w:highlight w:val="none"/>
                <w:lang w:val="en-US" w:eastAsia="zh-CN"/>
              </w:rPr>
            </w:pPr>
            <w:r>
              <w:rPr>
                <w:rFonts w:hint="eastAsia" w:ascii="Times New Roman" w:hAnsi="Times New Roman" w:eastAsia="宋体" w:cs="Times New Roman"/>
                <w:color w:val="auto"/>
                <w:sz w:val="24"/>
                <w:szCs w:val="24"/>
                <w:highlight w:val="none"/>
                <w:lang w:val="en-US" w:eastAsia="zh-CN"/>
              </w:rPr>
              <w:t>本项目目前已全部建设完成。</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480" w:firstLineChars="200"/>
              <w:jc w:val="both"/>
              <w:textAlignment w:val="auto"/>
              <w:outlineLvl w:val="9"/>
              <w:rPr>
                <w:rFonts w:hint="default"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szCs w:val="24"/>
                <w:highlight w:val="none"/>
                <w:lang w:val="en-US" w:eastAsia="zh-CN"/>
              </w:rPr>
              <w:t>经调查，本项目施工期间未因污染环境问题受到举报或投诉，未因此产生遗留的生态环境问题。</w:t>
            </w:r>
            <w:r>
              <w:rPr>
                <w:rFonts w:hint="eastAsia" w:cs="Times New Roman"/>
                <w:color w:val="auto"/>
                <w:sz w:val="24"/>
                <w:szCs w:val="24"/>
                <w:highlight w:val="none"/>
                <w:lang w:val="en-US" w:eastAsia="zh-CN"/>
              </w:rPr>
              <w:t>本项目在建设前，已依法向肥城市水利局、肥城市文化和旅游局、肥城市自然资源和规划局、肥城市行政审批局、石横镇人民政府等部门依法办理了规划、水保、考古等审批手续。</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2220" w:hRule="atLeast"/>
        </w:trPr>
        <w:tc>
          <w:tcPr>
            <w:tcW w:w="772" w:type="dxa"/>
            <w:vMerge w:val="restart"/>
            <w:tcBorders>
              <w:tl2br w:val="nil"/>
              <w:tr2bl w:val="nil"/>
            </w:tcBorders>
            <w:vAlign w:val="center"/>
          </w:tcPr>
          <w:p>
            <w:pPr>
              <w:spacing w:line="274" w:lineRule="exact"/>
              <w:jc w:val="center"/>
              <w:rPr>
                <w:b/>
                <w:bCs/>
                <w:color w:val="auto"/>
                <w:sz w:val="24"/>
                <w:szCs w:val="22"/>
              </w:rPr>
            </w:pPr>
            <w:r>
              <w:rPr>
                <w:b/>
                <w:bCs/>
                <w:color w:val="auto"/>
                <w:sz w:val="24"/>
                <w:szCs w:val="22"/>
              </w:rPr>
              <w:t>运</w:t>
            </w:r>
          </w:p>
          <w:p>
            <w:pPr>
              <w:spacing w:line="274" w:lineRule="exact"/>
              <w:jc w:val="center"/>
              <w:rPr>
                <w:b/>
                <w:bCs/>
                <w:color w:val="auto"/>
                <w:sz w:val="24"/>
                <w:szCs w:val="22"/>
              </w:rPr>
            </w:pPr>
            <w:r>
              <w:rPr>
                <w:b/>
                <w:bCs/>
                <w:color w:val="auto"/>
                <w:sz w:val="24"/>
                <w:szCs w:val="22"/>
              </w:rPr>
              <w:t>营</w:t>
            </w:r>
          </w:p>
          <w:p>
            <w:pPr>
              <w:spacing w:line="274" w:lineRule="exact"/>
              <w:jc w:val="center"/>
              <w:rPr>
                <w:b/>
                <w:bCs/>
                <w:color w:val="auto"/>
                <w:sz w:val="24"/>
                <w:szCs w:val="22"/>
              </w:rPr>
            </w:pPr>
            <w:r>
              <w:rPr>
                <w:b/>
                <w:bCs/>
                <w:color w:val="auto"/>
                <w:sz w:val="24"/>
                <w:szCs w:val="22"/>
              </w:rPr>
              <w:t>期</w:t>
            </w:r>
          </w:p>
        </w:tc>
        <w:tc>
          <w:tcPr>
            <w:tcW w:w="1065" w:type="dxa"/>
            <w:tcBorders>
              <w:tl2br w:val="nil"/>
              <w:tr2bl w:val="nil"/>
            </w:tcBorders>
            <w:vAlign w:val="center"/>
          </w:tcPr>
          <w:p>
            <w:pPr>
              <w:spacing w:line="360" w:lineRule="auto"/>
              <w:jc w:val="center"/>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生态</w:t>
            </w:r>
          </w:p>
          <w:p>
            <w:pPr>
              <w:spacing w:line="360" w:lineRule="auto"/>
              <w:jc w:val="center"/>
              <w:rPr>
                <w:b/>
                <w:bCs/>
                <w:color w:val="auto"/>
                <w:sz w:val="24"/>
                <w:szCs w:val="22"/>
              </w:rPr>
            </w:pPr>
            <w:r>
              <w:rPr>
                <w:rFonts w:hint="eastAsia" w:ascii="Times New Roman" w:hAnsi="Times New Roman" w:eastAsia="宋体" w:cs="Times New Roman"/>
                <w:b/>
                <w:bCs/>
                <w:color w:val="auto"/>
                <w:sz w:val="24"/>
                <w:szCs w:val="24"/>
                <w:lang w:eastAsia="zh-CN"/>
              </w:rPr>
              <w:t>影响</w:t>
            </w:r>
          </w:p>
        </w:tc>
        <w:tc>
          <w:tcPr>
            <w:tcW w:w="7969" w:type="dxa"/>
            <w:tcBorders>
              <w:tl2br w:val="nil"/>
              <w:tr2bl w:val="nil"/>
            </w:tcBorders>
            <w:vAlign w:val="center"/>
          </w:tcPr>
          <w:p>
            <w:pPr>
              <w:keepNext w:val="0"/>
              <w:keepLines w:val="0"/>
              <w:suppressLineNumbers w:val="0"/>
              <w:adjustRightInd w:val="0"/>
              <w:spacing w:before="0" w:beforeAutospacing="0" w:after="0" w:afterAutospacing="0" w:line="360" w:lineRule="auto"/>
              <w:ind w:right="0" w:firstLine="480" w:firstLineChars="200"/>
              <w:rPr>
                <w:color w:val="auto"/>
                <w:sz w:val="24"/>
                <w:szCs w:val="22"/>
              </w:rPr>
            </w:pPr>
            <w:r>
              <w:rPr>
                <w:rFonts w:hint="eastAsia"/>
                <w:color w:val="auto"/>
                <w:sz w:val="24"/>
                <w:szCs w:val="24"/>
                <w:lang w:eastAsia="zh-CN"/>
              </w:rPr>
              <w:t>经现场勘察，本</w:t>
            </w:r>
            <w:r>
              <w:rPr>
                <w:rFonts w:hint="eastAsia"/>
                <w:color w:val="auto"/>
                <w:sz w:val="24"/>
                <w:szCs w:val="24"/>
              </w:rPr>
              <w:t>项目</w:t>
            </w:r>
            <w:r>
              <w:rPr>
                <w:rFonts w:hint="eastAsia"/>
                <w:color w:val="auto"/>
                <w:sz w:val="24"/>
                <w:szCs w:val="24"/>
                <w:lang w:eastAsia="zh-CN"/>
              </w:rPr>
              <w:t>原施工区域已按照环评要求进行了</w:t>
            </w:r>
            <w:r>
              <w:rPr>
                <w:rFonts w:hint="default" w:ascii="Times New Roman" w:hAnsi="Times New Roman" w:cs="Times New Roman"/>
                <w:color w:val="auto"/>
                <w:kern w:val="0"/>
                <w:sz w:val="24"/>
                <w:lang w:val="en-US" w:eastAsia="zh-CN"/>
              </w:rPr>
              <w:t>土地</w:t>
            </w:r>
            <w:r>
              <w:rPr>
                <w:rFonts w:hint="eastAsia" w:ascii="Times New Roman" w:hAnsi="Times New Roman" w:cs="Times New Roman"/>
                <w:color w:val="auto"/>
                <w:kern w:val="0"/>
                <w:sz w:val="24"/>
                <w:lang w:val="en-US" w:eastAsia="zh-CN"/>
              </w:rPr>
              <w:t>回填</w:t>
            </w:r>
            <w:r>
              <w:rPr>
                <w:rFonts w:hint="default" w:ascii="Times New Roman" w:hAnsi="Times New Roman" w:cs="Times New Roman"/>
                <w:color w:val="auto"/>
                <w:kern w:val="0"/>
                <w:sz w:val="24"/>
                <w:lang w:val="en-US" w:eastAsia="zh-CN"/>
              </w:rPr>
              <w:t>平整</w:t>
            </w:r>
            <w:r>
              <w:rPr>
                <w:rFonts w:hint="eastAsia" w:ascii="Times New Roman" w:hAnsi="Times New Roman" w:cs="Times New Roman"/>
                <w:color w:val="auto"/>
                <w:kern w:val="0"/>
                <w:sz w:val="24"/>
                <w:lang w:val="en-US" w:eastAsia="zh-CN"/>
              </w:rPr>
              <w:t>、植被复垦等</w:t>
            </w:r>
            <w:r>
              <w:rPr>
                <w:rFonts w:hint="eastAsia"/>
                <w:color w:val="auto"/>
                <w:sz w:val="24"/>
                <w:szCs w:val="24"/>
                <w:lang w:eastAsia="zh-CN"/>
              </w:rPr>
              <w:t>，现场已无施工建材及垃圾废弃物遗留</w:t>
            </w:r>
            <w:r>
              <w:rPr>
                <w:rFonts w:hint="eastAsia" w:ascii="Times New Roman" w:hAnsi="Times New Roman" w:eastAsia="宋体" w:cs="Times New Roman"/>
                <w:color w:val="auto"/>
                <w:sz w:val="24"/>
                <w:highlight w:val="non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143" w:hRule="atLeast"/>
        </w:trPr>
        <w:tc>
          <w:tcPr>
            <w:tcW w:w="772" w:type="dxa"/>
            <w:vMerge w:val="continue"/>
            <w:tcBorders>
              <w:tl2br w:val="nil"/>
              <w:tr2bl w:val="nil"/>
            </w:tcBorders>
            <w:vAlign w:val="center"/>
          </w:tcPr>
          <w:p>
            <w:pPr>
              <w:spacing w:line="274" w:lineRule="exact"/>
              <w:jc w:val="center"/>
              <w:rPr>
                <w:b/>
                <w:bCs/>
                <w:color w:val="auto"/>
                <w:sz w:val="24"/>
                <w:szCs w:val="22"/>
              </w:rPr>
            </w:pPr>
          </w:p>
        </w:tc>
        <w:tc>
          <w:tcPr>
            <w:tcW w:w="1065" w:type="dxa"/>
            <w:tcBorders>
              <w:tl2br w:val="nil"/>
              <w:tr2bl w:val="nil"/>
            </w:tcBorders>
            <w:vAlign w:val="center"/>
          </w:tcPr>
          <w:p>
            <w:pPr>
              <w:spacing w:line="360" w:lineRule="auto"/>
              <w:jc w:val="center"/>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污染</w:t>
            </w:r>
          </w:p>
          <w:p>
            <w:pPr>
              <w:spacing w:line="360" w:lineRule="auto"/>
              <w:jc w:val="center"/>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影响</w:t>
            </w:r>
          </w:p>
        </w:tc>
        <w:tc>
          <w:tcPr>
            <w:tcW w:w="7969" w:type="dxa"/>
            <w:tcBorders>
              <w:tl2br w:val="nil"/>
              <w:tr2bl w:val="nil"/>
            </w:tcBorders>
            <w:vAlign w:val="center"/>
          </w:tcPr>
          <w:p>
            <w:pPr>
              <w:spacing w:line="360" w:lineRule="auto"/>
              <w:ind w:firstLine="480" w:firstLineChars="200"/>
              <w:rPr>
                <w:rFonts w:hint="eastAsia"/>
                <w:color w:val="auto"/>
                <w:sz w:val="24"/>
                <w:szCs w:val="24"/>
              </w:rPr>
            </w:pPr>
            <w:r>
              <w:rPr>
                <w:rFonts w:hint="eastAsia"/>
                <w:color w:val="auto"/>
                <w:sz w:val="24"/>
                <w:szCs w:val="24"/>
                <w:lang w:eastAsia="zh-CN"/>
              </w:rPr>
              <w:t>本</w:t>
            </w:r>
            <w:r>
              <w:rPr>
                <w:rFonts w:hint="eastAsia"/>
                <w:color w:val="auto"/>
                <w:sz w:val="24"/>
                <w:szCs w:val="24"/>
              </w:rPr>
              <w:t>项目</w:t>
            </w:r>
            <w:r>
              <w:rPr>
                <w:rFonts w:hint="eastAsia"/>
                <w:color w:val="auto"/>
                <w:sz w:val="24"/>
                <w:szCs w:val="24"/>
                <w:lang w:eastAsia="zh-CN"/>
              </w:rPr>
              <w:t>主要内容为管线建设，</w:t>
            </w:r>
            <w:r>
              <w:rPr>
                <w:rFonts w:hint="eastAsia"/>
                <w:color w:val="auto"/>
                <w:sz w:val="24"/>
                <w:szCs w:val="24"/>
              </w:rPr>
              <w:t>属于</w:t>
            </w:r>
            <w:r>
              <w:rPr>
                <w:rFonts w:hint="eastAsia"/>
                <w:color w:val="auto"/>
                <w:sz w:val="24"/>
                <w:szCs w:val="24"/>
                <w:lang w:eastAsia="zh-CN"/>
              </w:rPr>
              <w:t>市政公用工程</w:t>
            </w:r>
            <w:r>
              <w:rPr>
                <w:rFonts w:hint="eastAsia"/>
                <w:color w:val="auto"/>
                <w:sz w:val="24"/>
                <w:szCs w:val="24"/>
              </w:rPr>
              <w:t>，营运期间</w:t>
            </w:r>
            <w:r>
              <w:rPr>
                <w:rFonts w:hint="eastAsia"/>
                <w:color w:val="auto"/>
                <w:sz w:val="24"/>
                <w:szCs w:val="24"/>
                <w:lang w:eastAsia="zh-CN"/>
              </w:rPr>
              <w:t>管道传输介质为热水，营运期间无废气、废水、噪声、固废等污染物产生，</w:t>
            </w:r>
            <w:r>
              <w:rPr>
                <w:rFonts w:hint="eastAsia" w:ascii="Times New Roman" w:hAnsi="Times New Roman" w:eastAsia="宋体" w:cs="Times New Roman"/>
                <w:color w:val="auto"/>
                <w:sz w:val="24"/>
                <w:highlight w:val="none"/>
                <w:lang w:val="en-US" w:eastAsia="zh-CN"/>
              </w:rPr>
              <w:t>不会对地下水及土壤造成污染。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519" w:hRule="atLeast"/>
        </w:trPr>
        <w:tc>
          <w:tcPr>
            <w:tcW w:w="772" w:type="dxa"/>
            <w:vMerge w:val="continue"/>
            <w:tcBorders>
              <w:tl2br w:val="nil"/>
              <w:tr2bl w:val="nil"/>
            </w:tcBorders>
            <w:vAlign w:val="center"/>
          </w:tcPr>
          <w:p>
            <w:pPr>
              <w:spacing w:line="274" w:lineRule="exact"/>
              <w:jc w:val="center"/>
              <w:rPr>
                <w:b/>
                <w:bCs/>
                <w:color w:val="auto"/>
                <w:sz w:val="24"/>
                <w:szCs w:val="22"/>
              </w:rPr>
            </w:pPr>
          </w:p>
        </w:tc>
        <w:tc>
          <w:tcPr>
            <w:tcW w:w="1065" w:type="dxa"/>
            <w:tcBorders>
              <w:tl2br w:val="nil"/>
              <w:tr2bl w:val="nil"/>
            </w:tcBorders>
            <w:vAlign w:val="center"/>
          </w:tcPr>
          <w:p>
            <w:pPr>
              <w:spacing w:line="360" w:lineRule="auto"/>
              <w:jc w:val="center"/>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社会</w:t>
            </w:r>
          </w:p>
          <w:p>
            <w:pPr>
              <w:spacing w:line="360" w:lineRule="auto"/>
              <w:jc w:val="center"/>
              <w:rPr>
                <w:rFonts w:hint="eastAsia" w:ascii="Times New Roman" w:hAnsi="Times New Roman" w:eastAsia="宋体" w:cs="Times New Roman"/>
                <w:b/>
                <w:bCs/>
                <w:color w:val="auto"/>
                <w:sz w:val="24"/>
                <w:szCs w:val="24"/>
                <w:lang w:eastAsia="zh-CN"/>
              </w:rPr>
            </w:pPr>
            <w:r>
              <w:rPr>
                <w:rFonts w:hint="eastAsia" w:ascii="Times New Roman" w:hAnsi="Times New Roman" w:eastAsia="宋体" w:cs="Times New Roman"/>
                <w:b/>
                <w:bCs/>
                <w:color w:val="auto"/>
                <w:sz w:val="24"/>
                <w:szCs w:val="24"/>
                <w:lang w:eastAsia="zh-CN"/>
              </w:rPr>
              <w:t>影响</w:t>
            </w:r>
          </w:p>
        </w:tc>
        <w:tc>
          <w:tcPr>
            <w:tcW w:w="7969" w:type="dxa"/>
            <w:tcBorders>
              <w:tl2br w:val="nil"/>
              <w:tr2bl w:val="nil"/>
            </w:tcBorders>
            <w:vAlign w:val="center"/>
          </w:tcPr>
          <w:p>
            <w:pPr>
              <w:spacing w:line="360" w:lineRule="auto"/>
              <w:ind w:firstLine="480" w:firstLineChars="200"/>
              <w:rPr>
                <w:rFonts w:hint="eastAsia"/>
                <w:color w:val="auto"/>
                <w:sz w:val="24"/>
                <w:szCs w:val="24"/>
              </w:rPr>
            </w:pPr>
            <w:r>
              <w:rPr>
                <w:rFonts w:hint="eastAsia"/>
                <w:color w:val="auto"/>
                <w:sz w:val="24"/>
                <w:szCs w:val="24"/>
                <w:lang w:eastAsia="zh-CN"/>
              </w:rPr>
              <w:t>根据现场调查，本</w:t>
            </w:r>
            <w:r>
              <w:rPr>
                <w:rFonts w:hint="eastAsia"/>
                <w:color w:val="auto"/>
                <w:sz w:val="24"/>
                <w:szCs w:val="24"/>
              </w:rPr>
              <w:t>项目</w:t>
            </w:r>
            <w:r>
              <w:rPr>
                <w:rFonts w:hint="eastAsia"/>
                <w:color w:val="auto"/>
                <w:sz w:val="24"/>
                <w:szCs w:val="24"/>
                <w:lang w:eastAsia="zh-CN"/>
              </w:rPr>
              <w:t>未因环境问题受到举报或投诉造成不良社会影响。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4459" w:hRule="atLeast"/>
        </w:trPr>
        <w:tc>
          <w:tcPr>
            <w:tcW w:w="9806" w:type="dxa"/>
            <w:gridSpan w:val="3"/>
            <w:tcBorders>
              <w:tl2br w:val="nil"/>
              <w:tr2bl w:val="nil"/>
            </w:tcBorders>
            <w:vAlign w:val="center"/>
          </w:tcPr>
          <w:tbl>
            <w:tblPr>
              <w:tblStyle w:val="23"/>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88"/>
              <w:gridCol w:w="4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jc w:val="center"/>
                    <w:rPr>
                      <w:rFonts w:hint="eastAsia"/>
                      <w:color w:val="auto"/>
                      <w:vertAlign w:val="baseline"/>
                      <w:lang w:val="en-US" w:eastAsia="zh-CN"/>
                    </w:rPr>
                  </w:pPr>
                  <w:r>
                    <w:rPr>
                      <w:rFonts w:hint="eastAsia"/>
                      <w:color w:val="auto"/>
                      <w:vertAlign w:val="baseline"/>
                      <w:lang w:val="en-US" w:eastAsia="zh-CN"/>
                    </w:rPr>
                    <w:drawing>
                      <wp:inline distT="0" distB="0" distL="114300" distR="114300">
                        <wp:extent cx="2910840" cy="3131185"/>
                        <wp:effectExtent l="0" t="0" r="0" b="8255"/>
                        <wp:docPr id="34" name="图片 34" descr="08e83aabd4d27994840d628a2724d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08e83aabd4d27994840d628a2724d19"/>
                                <pic:cNvPicPr>
                                  <a:picLocks noChangeAspect="1"/>
                                </pic:cNvPicPr>
                              </pic:nvPicPr>
                              <pic:blipFill>
                                <a:blip r:embed="rId13"/>
                                <a:stretch>
                                  <a:fillRect/>
                                </a:stretch>
                              </pic:blipFill>
                              <pic:spPr>
                                <a:xfrm>
                                  <a:off x="0" y="0"/>
                                  <a:ext cx="2910840" cy="3131185"/>
                                </a:xfrm>
                                <a:prstGeom prst="rect">
                                  <a:avLst/>
                                </a:prstGeom>
                              </pic:spPr>
                            </pic:pic>
                          </a:graphicData>
                        </a:graphic>
                      </wp:inline>
                    </w:drawing>
                  </w:r>
                </w:p>
              </w:tc>
              <w:tc>
                <w:tcPr>
                  <w:tcW w:w="4888" w:type="dxa"/>
                </w:tcPr>
                <w:p>
                  <w:pPr>
                    <w:jc w:val="center"/>
                    <w:rPr>
                      <w:rFonts w:hint="eastAsia"/>
                      <w:color w:val="auto"/>
                      <w:vertAlign w:val="baseline"/>
                      <w:lang w:val="en-US" w:eastAsia="zh-CN"/>
                    </w:rPr>
                  </w:pPr>
                  <w:r>
                    <w:rPr>
                      <w:rFonts w:hint="eastAsia"/>
                      <w:color w:val="auto"/>
                      <w:vertAlign w:val="baseline"/>
                      <w:lang w:val="en-US" w:eastAsia="zh-CN"/>
                    </w:rPr>
                    <w:drawing>
                      <wp:inline distT="0" distB="0" distL="114300" distR="114300">
                        <wp:extent cx="2964180" cy="3114040"/>
                        <wp:effectExtent l="0" t="0" r="7620" b="10160"/>
                        <wp:docPr id="33" name="图片 33" descr="3e0c278f61e253e7c642708b9da62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3e0c278f61e253e7c642708b9da62cf"/>
                                <pic:cNvPicPr>
                                  <a:picLocks noChangeAspect="1"/>
                                </pic:cNvPicPr>
                              </pic:nvPicPr>
                              <pic:blipFill>
                                <a:blip r:embed="rId14"/>
                                <a:stretch>
                                  <a:fillRect/>
                                </a:stretch>
                              </pic:blipFill>
                              <pic:spPr>
                                <a:xfrm>
                                  <a:off x="0" y="0"/>
                                  <a:ext cx="2964180" cy="311404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jc w:val="center"/>
                    <w:rPr>
                      <w:rFonts w:hint="eastAsia"/>
                      <w:color w:val="auto"/>
                      <w:vertAlign w:val="baseline"/>
                      <w:lang w:val="en-US" w:eastAsia="zh-CN"/>
                    </w:rPr>
                  </w:pPr>
                  <w:r>
                    <w:rPr>
                      <w:rFonts w:hint="eastAsia" w:ascii="Times New Roman" w:hAnsi="Times New Roman" w:cs="Times New Roman"/>
                      <w:b/>
                      <w:color w:val="auto"/>
                      <w:sz w:val="24"/>
                      <w:highlight w:val="none"/>
                      <w:lang w:val="en-US" w:eastAsia="zh-CN"/>
                    </w:rPr>
                    <w:t>本项目施工期间防风抑尘网</w:t>
                  </w:r>
                  <w:r>
                    <w:rPr>
                      <w:rFonts w:hint="eastAsia" w:cs="Times New Roman"/>
                      <w:b/>
                      <w:color w:val="auto"/>
                      <w:sz w:val="24"/>
                      <w:highlight w:val="none"/>
                      <w:lang w:val="en-US" w:eastAsia="zh-CN"/>
                    </w:rPr>
                    <w:t>防尘布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jc w:val="center"/>
                    <w:rPr>
                      <w:rFonts w:hint="eastAsia"/>
                      <w:color w:val="auto"/>
                      <w:vertAlign w:val="baseline"/>
                      <w:lang w:val="en-US" w:eastAsia="zh-CN"/>
                    </w:rPr>
                  </w:pPr>
                  <w:r>
                    <w:rPr>
                      <w:rFonts w:hint="eastAsia"/>
                      <w:color w:val="auto"/>
                      <w:vertAlign w:val="baseline"/>
                      <w:lang w:val="en-US" w:eastAsia="zh-CN"/>
                    </w:rPr>
                    <w:drawing>
                      <wp:inline distT="0" distB="0" distL="114300" distR="114300">
                        <wp:extent cx="2964180" cy="2606040"/>
                        <wp:effectExtent l="0" t="0" r="7620" b="0"/>
                        <wp:docPr id="35" name="图片 35" descr="c0d2a5acb2fabadd8788fe4567ebf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0d2a5acb2fabadd8788fe4567ebfd3"/>
                                <pic:cNvPicPr>
                                  <a:picLocks noChangeAspect="1"/>
                                </pic:cNvPicPr>
                              </pic:nvPicPr>
                              <pic:blipFill>
                                <a:blip r:embed="rId15"/>
                                <a:stretch>
                                  <a:fillRect/>
                                </a:stretch>
                              </pic:blipFill>
                              <pic:spPr>
                                <a:xfrm>
                                  <a:off x="0" y="0"/>
                                  <a:ext cx="2964180" cy="2606040"/>
                                </a:xfrm>
                                <a:prstGeom prst="rect">
                                  <a:avLst/>
                                </a:prstGeom>
                              </pic:spPr>
                            </pic:pic>
                          </a:graphicData>
                        </a:graphic>
                      </wp:inline>
                    </w:drawing>
                  </w:r>
                </w:p>
              </w:tc>
              <w:tc>
                <w:tcPr>
                  <w:tcW w:w="4888" w:type="dxa"/>
                </w:tcPr>
                <w:p>
                  <w:pPr>
                    <w:jc w:val="center"/>
                    <w:rPr>
                      <w:rFonts w:hint="eastAsia"/>
                      <w:color w:val="auto"/>
                      <w:vertAlign w:val="baseline"/>
                      <w:lang w:val="en-US" w:eastAsia="zh-CN"/>
                    </w:rPr>
                  </w:pPr>
                  <w:r>
                    <w:rPr>
                      <w:rFonts w:hint="eastAsia"/>
                      <w:color w:val="auto"/>
                      <w:vertAlign w:val="baseline"/>
                      <w:lang w:val="en-US" w:eastAsia="zh-CN"/>
                    </w:rPr>
                    <w:drawing>
                      <wp:inline distT="0" distB="0" distL="114300" distR="114300">
                        <wp:extent cx="2966720" cy="2661920"/>
                        <wp:effectExtent l="0" t="0" r="5080" b="5080"/>
                        <wp:docPr id="36" name="图片 36" descr="8b35f4a30f322b64d2303a53dc70e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8b35f4a30f322b64d2303a53dc70eaa"/>
                                <pic:cNvPicPr>
                                  <a:picLocks noChangeAspect="1"/>
                                </pic:cNvPicPr>
                              </pic:nvPicPr>
                              <pic:blipFill>
                                <a:blip r:embed="rId16"/>
                                <a:stretch>
                                  <a:fillRect/>
                                </a:stretch>
                              </pic:blipFill>
                              <pic:spPr>
                                <a:xfrm>
                                  <a:off x="0" y="0"/>
                                  <a:ext cx="2966720" cy="266192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jc w:val="center"/>
                    <w:rPr>
                      <w:rFonts w:hint="eastAsia"/>
                      <w:color w:val="auto"/>
                      <w:vertAlign w:val="baseline"/>
                      <w:lang w:val="en-US" w:eastAsia="zh-CN"/>
                    </w:rPr>
                  </w:pPr>
                  <w:r>
                    <w:rPr>
                      <w:rFonts w:hint="eastAsia" w:ascii="Times New Roman" w:hAnsi="Times New Roman" w:cs="Times New Roman"/>
                      <w:b/>
                      <w:color w:val="auto"/>
                      <w:sz w:val="24"/>
                      <w:highlight w:val="none"/>
                      <w:lang w:val="en-US" w:eastAsia="zh-CN"/>
                    </w:rPr>
                    <w:t>本项目施工期间封闭围挡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jc w:val="both"/>
                    <w:rPr>
                      <w:rFonts w:hint="eastAsia" w:ascii="Times New Roman" w:hAnsi="Times New Roman" w:cs="Times New Roman"/>
                      <w:b/>
                      <w:color w:val="auto"/>
                      <w:sz w:val="24"/>
                      <w:highlight w:val="none"/>
                      <w:lang w:val="en-US" w:eastAsia="zh-CN"/>
                    </w:rPr>
                  </w:pPr>
                  <w:r>
                    <w:rPr>
                      <w:rFonts w:hint="eastAsia" w:ascii="Times New Roman" w:hAnsi="Times New Roman" w:cs="Times New Roman"/>
                      <w:b/>
                      <w:color w:val="auto"/>
                      <w:sz w:val="24"/>
                      <w:highlight w:val="none"/>
                      <w:lang w:val="en-US" w:eastAsia="zh-CN"/>
                    </w:rPr>
                    <w:drawing>
                      <wp:inline distT="0" distB="0" distL="114300" distR="114300">
                        <wp:extent cx="2290445" cy="2438400"/>
                        <wp:effectExtent l="0" t="0" r="10795" b="0"/>
                        <wp:docPr id="37" name="图片 37" descr="786dfc8badb1128dd6ff6cdfb585e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786dfc8badb1128dd6ff6cdfb585e4a"/>
                                <pic:cNvPicPr>
                                  <a:picLocks noChangeAspect="1"/>
                                </pic:cNvPicPr>
                              </pic:nvPicPr>
                              <pic:blipFill>
                                <a:blip r:embed="rId17"/>
                                <a:stretch>
                                  <a:fillRect/>
                                </a:stretch>
                              </pic:blipFill>
                              <pic:spPr>
                                <a:xfrm>
                                  <a:off x="0" y="0"/>
                                  <a:ext cx="2290445" cy="2438400"/>
                                </a:xfrm>
                                <a:prstGeom prst="rect">
                                  <a:avLst/>
                                </a:prstGeom>
                              </pic:spPr>
                            </pic:pic>
                          </a:graphicData>
                        </a:graphic>
                      </wp:inline>
                    </w:drawing>
                  </w:r>
                  <w:r>
                    <w:rPr>
                      <w:rFonts w:hint="eastAsia" w:cs="Times New Roman"/>
                      <w:b/>
                      <w:color w:val="auto"/>
                      <w:sz w:val="24"/>
                      <w:highlight w:val="none"/>
                      <w:lang w:val="en-US" w:eastAsia="zh-CN"/>
                    </w:rPr>
                    <w:t xml:space="preserve"> </w:t>
                  </w:r>
                  <w:r>
                    <w:rPr>
                      <w:rFonts w:hint="eastAsia" w:ascii="Times New Roman" w:hAnsi="Times New Roman" w:cs="Times New Roman"/>
                      <w:b/>
                      <w:color w:val="auto"/>
                      <w:sz w:val="24"/>
                      <w:highlight w:val="none"/>
                      <w:lang w:val="en-US" w:eastAsia="zh-CN"/>
                    </w:rPr>
                    <w:drawing>
                      <wp:inline distT="0" distB="0" distL="114300" distR="114300">
                        <wp:extent cx="3597910" cy="2413000"/>
                        <wp:effectExtent l="0" t="0" r="13970" b="10160"/>
                        <wp:docPr id="38" name="图片 38" descr="58e0fa3e825bf144e208ca359629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58e0fa3e825bf144e208ca359629602"/>
                                <pic:cNvPicPr>
                                  <a:picLocks noChangeAspect="1"/>
                                </pic:cNvPicPr>
                              </pic:nvPicPr>
                              <pic:blipFill>
                                <a:blip r:embed="rId18"/>
                                <a:stretch>
                                  <a:fillRect/>
                                </a:stretch>
                              </pic:blipFill>
                              <pic:spPr>
                                <a:xfrm>
                                  <a:off x="0" y="0"/>
                                  <a:ext cx="3597910" cy="24130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jc w:val="center"/>
                    <w:rPr>
                      <w:rFonts w:hint="eastAsia" w:ascii="Times New Roman" w:hAnsi="Times New Roman" w:cs="Times New Roman"/>
                      <w:b/>
                      <w:color w:val="auto"/>
                      <w:sz w:val="24"/>
                      <w:highlight w:val="none"/>
                      <w:lang w:val="en-US" w:eastAsia="zh-CN"/>
                    </w:rPr>
                  </w:pPr>
                  <w:r>
                    <w:rPr>
                      <w:rFonts w:hint="eastAsia" w:cs="Times New Roman"/>
                      <w:b/>
                      <w:color w:val="auto"/>
                      <w:sz w:val="24"/>
                      <w:highlight w:val="none"/>
                      <w:lang w:val="en-US" w:eastAsia="zh-CN"/>
                    </w:rPr>
                    <w:t>本项目施工期间使用移动焊烟净化器及洗车平台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jc w:val="center"/>
                    <w:rPr>
                      <w:rFonts w:hint="eastAsia" w:cs="Times New Roman"/>
                      <w:b/>
                      <w:color w:val="auto"/>
                      <w:sz w:val="24"/>
                      <w:highlight w:val="none"/>
                      <w:lang w:val="en-US" w:eastAsia="zh-CN"/>
                    </w:rPr>
                  </w:pPr>
                  <w:r>
                    <w:rPr>
                      <w:rFonts w:hint="eastAsia" w:cs="Times New Roman"/>
                      <w:b/>
                      <w:color w:val="auto"/>
                      <w:sz w:val="24"/>
                      <w:highlight w:val="none"/>
                      <w:lang w:val="en-US" w:eastAsia="zh-CN"/>
                    </w:rPr>
                    <w:drawing>
                      <wp:inline distT="0" distB="0" distL="114300" distR="114300">
                        <wp:extent cx="3017520" cy="2263140"/>
                        <wp:effectExtent l="0" t="0" r="0" b="7620"/>
                        <wp:docPr id="39" name="图片 39" descr="37b409607eb51c79621c9edf457b1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37b409607eb51c79621c9edf457b1ed"/>
                                <pic:cNvPicPr>
                                  <a:picLocks noChangeAspect="1"/>
                                </pic:cNvPicPr>
                              </pic:nvPicPr>
                              <pic:blipFill>
                                <a:blip r:embed="rId19"/>
                                <a:stretch>
                                  <a:fillRect/>
                                </a:stretch>
                              </pic:blipFill>
                              <pic:spPr>
                                <a:xfrm>
                                  <a:off x="0" y="0"/>
                                  <a:ext cx="3017520" cy="2263140"/>
                                </a:xfrm>
                                <a:prstGeom prst="rect">
                                  <a:avLst/>
                                </a:prstGeom>
                              </pic:spPr>
                            </pic:pic>
                          </a:graphicData>
                        </a:graphic>
                      </wp:inline>
                    </w:drawing>
                  </w:r>
                </w:p>
              </w:tc>
              <w:tc>
                <w:tcPr>
                  <w:tcW w:w="4888" w:type="dxa"/>
                </w:tcPr>
                <w:p>
                  <w:pPr>
                    <w:jc w:val="center"/>
                    <w:rPr>
                      <w:rFonts w:hint="eastAsia" w:cs="Times New Roman"/>
                      <w:b/>
                      <w:color w:val="auto"/>
                      <w:sz w:val="24"/>
                      <w:highlight w:val="none"/>
                      <w:lang w:val="en-US" w:eastAsia="zh-CN"/>
                    </w:rPr>
                  </w:pPr>
                  <w:r>
                    <w:rPr>
                      <w:rFonts w:hint="eastAsia" w:cs="Times New Roman"/>
                      <w:b/>
                      <w:color w:val="auto"/>
                      <w:sz w:val="24"/>
                      <w:highlight w:val="none"/>
                      <w:lang w:val="en-US" w:eastAsia="zh-CN"/>
                    </w:rPr>
                    <w:drawing>
                      <wp:inline distT="0" distB="0" distL="114300" distR="114300">
                        <wp:extent cx="2966720" cy="2260600"/>
                        <wp:effectExtent l="0" t="0" r="5080" b="10160"/>
                        <wp:docPr id="40" name="图片 40" descr="5869ff5885773bf398bb4373ae532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5869ff5885773bf398bb4373ae5329d"/>
                                <pic:cNvPicPr>
                                  <a:picLocks noChangeAspect="1"/>
                                </pic:cNvPicPr>
                              </pic:nvPicPr>
                              <pic:blipFill>
                                <a:blip r:embed="rId20"/>
                                <a:stretch>
                                  <a:fillRect/>
                                </a:stretch>
                              </pic:blipFill>
                              <pic:spPr>
                                <a:xfrm>
                                  <a:off x="0" y="0"/>
                                  <a:ext cx="2966720" cy="22606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jc w:val="center"/>
                    <w:rPr>
                      <w:rFonts w:hint="eastAsia" w:cs="Times New Roman"/>
                      <w:b/>
                      <w:color w:val="auto"/>
                      <w:sz w:val="24"/>
                      <w:highlight w:val="none"/>
                      <w:lang w:val="en-US" w:eastAsia="zh-CN"/>
                    </w:rPr>
                  </w:pPr>
                  <w:r>
                    <w:rPr>
                      <w:rFonts w:hint="eastAsia" w:cs="Times New Roman"/>
                      <w:b/>
                      <w:color w:val="auto"/>
                      <w:sz w:val="24"/>
                      <w:highlight w:val="none"/>
                      <w:lang w:val="en-US" w:eastAsia="zh-CN"/>
                    </w:rPr>
                    <w:t>本项目施工期间雾炮喷淋抑尘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jc w:val="center"/>
                    <w:rPr>
                      <w:rFonts w:hint="eastAsia" w:cs="Times New Roman"/>
                      <w:b/>
                      <w:color w:val="auto"/>
                      <w:sz w:val="24"/>
                      <w:highlight w:val="none"/>
                      <w:lang w:val="en-US" w:eastAsia="zh-CN"/>
                    </w:rPr>
                  </w:pPr>
                  <w:r>
                    <w:rPr>
                      <w:rFonts w:hint="eastAsia" w:cs="Times New Roman"/>
                      <w:b/>
                      <w:color w:val="auto"/>
                      <w:sz w:val="24"/>
                      <w:highlight w:val="none"/>
                      <w:lang w:val="en-US" w:eastAsia="zh-CN"/>
                    </w:rPr>
                    <w:drawing>
                      <wp:inline distT="0" distB="0" distL="114300" distR="114300">
                        <wp:extent cx="6068695" cy="3221990"/>
                        <wp:effectExtent l="0" t="0" r="12065" b="8890"/>
                        <wp:docPr id="41" name="图片 41" descr="5dd60b61a195d2b5d73db3ef8bda6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5dd60b61a195d2b5d73db3ef8bda6b9"/>
                                <pic:cNvPicPr>
                                  <a:picLocks noChangeAspect="1"/>
                                </pic:cNvPicPr>
                              </pic:nvPicPr>
                              <pic:blipFill>
                                <a:blip r:embed="rId21"/>
                                <a:stretch>
                                  <a:fillRect/>
                                </a:stretch>
                              </pic:blipFill>
                              <pic:spPr>
                                <a:xfrm>
                                  <a:off x="0" y="0"/>
                                  <a:ext cx="6068695" cy="32219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jc w:val="center"/>
                    <w:rPr>
                      <w:rFonts w:hint="eastAsia" w:cs="Times New Roman"/>
                      <w:b/>
                      <w:color w:val="auto"/>
                      <w:sz w:val="24"/>
                      <w:highlight w:val="none"/>
                      <w:lang w:val="en-US" w:eastAsia="zh-CN"/>
                    </w:rPr>
                  </w:pPr>
                  <w:r>
                    <w:rPr>
                      <w:rFonts w:hint="eastAsia" w:cs="Times New Roman"/>
                      <w:b/>
                      <w:color w:val="auto"/>
                      <w:sz w:val="24"/>
                      <w:highlight w:val="none"/>
                      <w:lang w:val="en-US" w:eastAsia="zh-CN"/>
                    </w:rPr>
                    <w:t>本项目施工期间临时截排水措施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jc w:val="center"/>
                    <w:rPr>
                      <w:rFonts w:hint="eastAsia" w:cs="Times New Roman"/>
                      <w:b/>
                      <w:color w:val="auto"/>
                      <w:sz w:val="24"/>
                      <w:highlight w:val="none"/>
                      <w:lang w:val="en-US" w:eastAsia="zh-CN"/>
                    </w:rPr>
                  </w:pPr>
                  <w:r>
                    <w:rPr>
                      <w:rFonts w:hint="eastAsia" w:cs="Times New Roman"/>
                      <w:b/>
                      <w:color w:val="auto"/>
                      <w:sz w:val="24"/>
                      <w:highlight w:val="none"/>
                      <w:lang w:val="en-US" w:eastAsia="zh-CN"/>
                    </w:rPr>
                    <w:drawing>
                      <wp:inline distT="0" distB="0" distL="114300" distR="114300">
                        <wp:extent cx="2962910" cy="2719705"/>
                        <wp:effectExtent l="0" t="0" r="8890" b="8255"/>
                        <wp:docPr id="42" name="图片 42" descr="977f10b66aa9d82b6dd878db3e7a6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977f10b66aa9d82b6dd878db3e7a6b7"/>
                                <pic:cNvPicPr>
                                  <a:picLocks noChangeAspect="1"/>
                                </pic:cNvPicPr>
                              </pic:nvPicPr>
                              <pic:blipFill>
                                <a:blip r:embed="rId22"/>
                                <a:stretch>
                                  <a:fillRect/>
                                </a:stretch>
                              </pic:blipFill>
                              <pic:spPr>
                                <a:xfrm>
                                  <a:off x="0" y="0"/>
                                  <a:ext cx="2962910" cy="2719705"/>
                                </a:xfrm>
                                <a:prstGeom prst="rect">
                                  <a:avLst/>
                                </a:prstGeom>
                              </pic:spPr>
                            </pic:pic>
                          </a:graphicData>
                        </a:graphic>
                      </wp:inline>
                    </w:drawing>
                  </w:r>
                </w:p>
              </w:tc>
              <w:tc>
                <w:tcPr>
                  <w:tcW w:w="4888" w:type="dxa"/>
                </w:tcPr>
                <w:p>
                  <w:pPr>
                    <w:jc w:val="center"/>
                    <w:rPr>
                      <w:rFonts w:hint="eastAsia" w:cs="Times New Roman"/>
                      <w:b/>
                      <w:color w:val="auto"/>
                      <w:sz w:val="24"/>
                      <w:highlight w:val="none"/>
                      <w:lang w:val="en-US" w:eastAsia="zh-CN"/>
                    </w:rPr>
                  </w:pPr>
                  <w:r>
                    <w:rPr>
                      <w:rFonts w:hint="eastAsia" w:cs="Times New Roman"/>
                      <w:b/>
                      <w:color w:val="auto"/>
                      <w:sz w:val="24"/>
                      <w:highlight w:val="none"/>
                      <w:lang w:val="en-US" w:eastAsia="zh-CN"/>
                    </w:rPr>
                    <w:drawing>
                      <wp:inline distT="0" distB="0" distL="114300" distR="114300">
                        <wp:extent cx="2949575" cy="2726690"/>
                        <wp:effectExtent l="0" t="0" r="6985" b="1270"/>
                        <wp:docPr id="43" name="图片 43" descr="42b2757326c1d9e0812160ea9211b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42b2757326c1d9e0812160ea9211b28"/>
                                <pic:cNvPicPr>
                                  <a:picLocks noChangeAspect="1"/>
                                </pic:cNvPicPr>
                              </pic:nvPicPr>
                              <pic:blipFill>
                                <a:blip r:embed="rId23"/>
                                <a:stretch>
                                  <a:fillRect/>
                                </a:stretch>
                              </pic:blipFill>
                              <pic:spPr>
                                <a:xfrm>
                                  <a:off x="0" y="0"/>
                                  <a:ext cx="2949575" cy="27266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jc w:val="center"/>
                    <w:rPr>
                      <w:rFonts w:hint="eastAsia" w:cs="Times New Roman"/>
                      <w:b/>
                      <w:color w:val="auto"/>
                      <w:sz w:val="24"/>
                      <w:highlight w:val="none"/>
                      <w:lang w:val="en-US" w:eastAsia="zh-CN"/>
                    </w:rPr>
                  </w:pPr>
                  <w:r>
                    <w:rPr>
                      <w:rFonts w:hint="eastAsia" w:cs="Times New Roman"/>
                      <w:b/>
                      <w:color w:val="auto"/>
                      <w:sz w:val="24"/>
                      <w:highlight w:val="none"/>
                      <w:lang w:val="en-US" w:eastAsia="zh-CN"/>
                    </w:rPr>
                    <w:t>本项目施工完毕后复垦情况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jc w:val="center"/>
                    <w:rPr>
                      <w:rFonts w:hint="default" w:cs="Times New Roman"/>
                      <w:b/>
                      <w:color w:val="auto"/>
                      <w:sz w:val="24"/>
                      <w:highlight w:val="none"/>
                      <w:lang w:val="en-US" w:eastAsia="zh-CN"/>
                    </w:rPr>
                  </w:pPr>
                  <w:r>
                    <w:rPr>
                      <w:rFonts w:hint="default" w:cs="Times New Roman"/>
                      <w:b/>
                      <w:color w:val="auto"/>
                      <w:sz w:val="24"/>
                      <w:highlight w:val="none"/>
                      <w:lang w:val="en-US" w:eastAsia="zh-CN"/>
                    </w:rPr>
                    <w:drawing>
                      <wp:inline distT="0" distB="0" distL="114300" distR="114300">
                        <wp:extent cx="2964815" cy="2223770"/>
                        <wp:effectExtent l="0" t="0" r="6985" b="1270"/>
                        <wp:docPr id="8" name="图片 8" descr="a74539ca5cc0bd10b7b468a72d8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74539ca5cc0bd10b7b468a72d82427"/>
                                <pic:cNvPicPr>
                                  <a:picLocks noChangeAspect="1"/>
                                </pic:cNvPicPr>
                              </pic:nvPicPr>
                              <pic:blipFill>
                                <a:blip r:embed="rId24"/>
                                <a:stretch>
                                  <a:fillRect/>
                                </a:stretch>
                              </pic:blipFill>
                              <pic:spPr>
                                <a:xfrm>
                                  <a:off x="0" y="0"/>
                                  <a:ext cx="2964815" cy="2223770"/>
                                </a:xfrm>
                                <a:prstGeom prst="rect">
                                  <a:avLst/>
                                </a:prstGeom>
                              </pic:spPr>
                            </pic:pic>
                          </a:graphicData>
                        </a:graphic>
                      </wp:inline>
                    </w:drawing>
                  </w:r>
                </w:p>
              </w:tc>
              <w:tc>
                <w:tcPr>
                  <w:tcW w:w="4888" w:type="dxa"/>
                </w:tcPr>
                <w:p>
                  <w:pPr>
                    <w:jc w:val="center"/>
                    <w:rPr>
                      <w:rFonts w:hint="default" w:cs="Times New Roman"/>
                      <w:b/>
                      <w:color w:val="auto"/>
                      <w:sz w:val="24"/>
                      <w:highlight w:val="none"/>
                      <w:lang w:val="en-US" w:eastAsia="zh-CN"/>
                    </w:rPr>
                  </w:pPr>
                  <w:r>
                    <w:rPr>
                      <w:rFonts w:hint="default" w:cs="Times New Roman"/>
                      <w:b/>
                      <w:color w:val="auto"/>
                      <w:sz w:val="24"/>
                      <w:highlight w:val="none"/>
                      <w:lang w:val="en-US" w:eastAsia="zh-CN"/>
                    </w:rPr>
                    <w:drawing>
                      <wp:inline distT="0" distB="0" distL="114300" distR="114300">
                        <wp:extent cx="2964815" cy="2223770"/>
                        <wp:effectExtent l="0" t="0" r="6985" b="1270"/>
                        <wp:docPr id="10" name="图片 10" descr="de987f16f40a54e75d2db745473b5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e987f16f40a54e75d2db745473b58a"/>
                                <pic:cNvPicPr>
                                  <a:picLocks noChangeAspect="1"/>
                                </pic:cNvPicPr>
                              </pic:nvPicPr>
                              <pic:blipFill>
                                <a:blip r:embed="rId25"/>
                                <a:stretch>
                                  <a:fillRect/>
                                </a:stretch>
                              </pic:blipFill>
                              <pic:spPr>
                                <a:xfrm>
                                  <a:off x="0" y="0"/>
                                  <a:ext cx="2964815" cy="222377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88" w:type="dxa"/>
                </w:tcPr>
                <w:p>
                  <w:pPr>
                    <w:jc w:val="center"/>
                    <w:rPr>
                      <w:rFonts w:hint="default" w:cs="Times New Roman"/>
                      <w:b/>
                      <w:color w:val="auto"/>
                      <w:sz w:val="24"/>
                      <w:highlight w:val="none"/>
                      <w:lang w:val="en-US" w:eastAsia="zh-CN"/>
                    </w:rPr>
                  </w:pPr>
                  <w:r>
                    <w:rPr>
                      <w:rFonts w:hint="eastAsia" w:cs="Times New Roman"/>
                      <w:b/>
                      <w:color w:val="auto"/>
                      <w:sz w:val="24"/>
                      <w:highlight w:val="none"/>
                      <w:lang w:val="en-US" w:eastAsia="zh-CN"/>
                    </w:rPr>
                    <w:t>本项目热力管线架空管穿1030干渠</w:t>
                  </w:r>
                </w:p>
              </w:tc>
              <w:tc>
                <w:tcPr>
                  <w:tcW w:w="4888" w:type="dxa"/>
                </w:tcPr>
                <w:p>
                  <w:pPr>
                    <w:jc w:val="center"/>
                    <w:rPr>
                      <w:rFonts w:hint="default" w:cs="Times New Roman"/>
                      <w:b/>
                      <w:color w:val="auto"/>
                      <w:sz w:val="24"/>
                      <w:highlight w:val="none"/>
                      <w:lang w:val="en-US" w:eastAsia="zh-CN"/>
                    </w:rPr>
                  </w:pPr>
                  <w:r>
                    <w:rPr>
                      <w:rFonts w:hint="eastAsia" w:cs="Times New Roman"/>
                      <w:b/>
                      <w:color w:val="auto"/>
                      <w:sz w:val="24"/>
                      <w:highlight w:val="none"/>
                      <w:lang w:val="en-US" w:eastAsia="zh-CN"/>
                    </w:rPr>
                    <w:t>本项目架空管穿红石河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jc w:val="center"/>
                    <w:rPr>
                      <w:rFonts w:hint="eastAsia" w:cs="Times New Roman"/>
                      <w:b/>
                      <w:color w:val="auto"/>
                      <w:sz w:val="24"/>
                      <w:highlight w:val="none"/>
                      <w:lang w:val="en-US" w:eastAsia="zh-CN"/>
                    </w:rPr>
                  </w:pPr>
                  <w:r>
                    <w:rPr>
                      <w:color w:val="auto"/>
                    </w:rPr>
                    <mc:AlternateContent>
                      <mc:Choice Requires="wps">
                        <w:drawing>
                          <wp:anchor distT="0" distB="0" distL="114300" distR="114300" simplePos="0" relativeHeight="251661312" behindDoc="0" locked="0" layoutInCell="1" allowOverlap="1">
                            <wp:simplePos x="0" y="0"/>
                            <wp:positionH relativeFrom="column">
                              <wp:posOffset>871855</wp:posOffset>
                            </wp:positionH>
                            <wp:positionV relativeFrom="paragraph">
                              <wp:posOffset>2457450</wp:posOffset>
                            </wp:positionV>
                            <wp:extent cx="2247265" cy="5080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2247265" cy="508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b/>
                                            <w:bCs/>
                                            <w:color w:val="FFFF00"/>
                                            <w:sz w:val="28"/>
                                            <w:szCs w:val="28"/>
                                            <w:lang w:eastAsia="zh-CN"/>
                                          </w:rPr>
                                        </w:pPr>
                                        <w:r>
                                          <w:rPr>
                                            <w:rFonts w:hint="eastAsia"/>
                                            <w:b/>
                                            <w:bCs/>
                                            <w:color w:val="FFFF00"/>
                                            <w:sz w:val="28"/>
                                            <w:szCs w:val="28"/>
                                            <w:lang w:eastAsia="zh-CN"/>
                                          </w:rPr>
                                          <w:t>本项目泄露检测光纤设施</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8.65pt;margin-top:193.5pt;height:40pt;width:176.95pt;z-index:251661312;mso-width-relative:page;mso-height-relative:page;" filled="f" stroked="f" coordsize="21600,21600" o:gfxdata="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WjihTbAAAACwEAAA8AAAAAAAAAAQAgAAAAIgAA&#10;AGRycy9kb3ducmV2LnhtbFBLAQIUABQAAAAIAIdO4kA6RqxePgIAAGgEAAAOAAAAAAAAAAEAIAAA&#10;ACoBAABkcnMvZTJvRG9jLnhtbFBLBQYAAAAABgAGAFkBAADaBQAAAAA=&#10;">
                            <v:fill on="f" focussize="0,0"/>
                            <v:stroke on="f" weight="0.5pt"/>
                            <v:imagedata o:title=""/>
                            <o:lock v:ext="edit" aspectratio="f"/>
                            <v:textbox>
                              <w:txbxContent>
                                <w:p>
                                  <w:pPr>
                                    <w:rPr>
                                      <w:rFonts w:hint="eastAsia" w:eastAsia="宋体"/>
                                      <w:b/>
                                      <w:bCs/>
                                      <w:color w:val="FFFF00"/>
                                      <w:sz w:val="28"/>
                                      <w:szCs w:val="28"/>
                                      <w:lang w:eastAsia="zh-CN"/>
                                    </w:rPr>
                                  </w:pPr>
                                  <w:r>
                                    <w:rPr>
                                      <w:rFonts w:hint="eastAsia"/>
                                      <w:b/>
                                      <w:bCs/>
                                      <w:color w:val="FFFF00"/>
                                      <w:sz w:val="28"/>
                                      <w:szCs w:val="28"/>
                                      <w:lang w:eastAsia="zh-CN"/>
                                    </w:rPr>
                                    <w:t>本项目泄露检测光纤设施</w:t>
                                  </w:r>
                                </w:p>
                              </w:txbxContent>
                            </v:textbox>
                          </v:shape>
                        </w:pict>
                      </mc:Fallback>
                    </mc:AlternateContent>
                  </w:r>
                  <w:r>
                    <w:rPr>
                      <w:color w:val="auto"/>
                    </w:rPr>
                    <mc:AlternateContent>
                      <mc:Choice Requires="wps">
                        <w:drawing>
                          <wp:anchor distT="0" distB="0" distL="114300" distR="114300" simplePos="0" relativeHeight="251660288" behindDoc="0" locked="0" layoutInCell="1" allowOverlap="1">
                            <wp:simplePos x="0" y="0"/>
                            <wp:positionH relativeFrom="column">
                              <wp:posOffset>1049655</wp:posOffset>
                            </wp:positionH>
                            <wp:positionV relativeFrom="paragraph">
                              <wp:posOffset>2894330</wp:posOffset>
                            </wp:positionV>
                            <wp:extent cx="1158875" cy="506095"/>
                            <wp:effectExtent l="0" t="5715" r="14605" b="21590"/>
                            <wp:wrapNone/>
                            <wp:docPr id="47" name="直接箭头连接符 47"/>
                            <wp:cNvGraphicFramePr/>
                            <a:graphic xmlns:a="http://schemas.openxmlformats.org/drawingml/2006/main">
                              <a:graphicData uri="http://schemas.microsoft.com/office/word/2010/wordprocessingShape">
                                <wps:wsp>
                                  <wps:cNvCnPr/>
                                  <wps:spPr>
                                    <a:xfrm flipH="1" flipV="1">
                                      <a:off x="0" y="0"/>
                                      <a:ext cx="1158875" cy="506095"/>
                                    </a:xfrm>
                                    <a:prstGeom prst="straightConnector1">
                                      <a:avLst/>
                                    </a:prstGeom>
                                    <a:ln w="3175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82.65pt;margin-top:227.9pt;height:39.85pt;width:91.25pt;z-index:251660288;mso-width-relative:page;mso-height-relative:page;" filled="f" stroked="t" coordsize="21600,21600" o:gfxdata="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rjh4PdkAAAAL&#10;AQAADwAAAAAAAAABACAAAAAiAAAAZHJzL2Rvd25yZXYueG1sUEsBAhQAFAAAAAgAh07iQIYLWuIb&#10;AgAA/QMAAA4AAAAAAAAAAQAgAAAAKAEAAGRycy9lMm9Eb2MueG1sUEsFBgAAAAAGAAYAWQEAALUF&#10;AAAAAA==&#10;">
                            <v:fill on="f" focussize="0,0"/>
                            <v:stroke weight="2.5pt" color="#FFFF00 [3204]" miterlimit="8" joinstyle="miter" endarrow="block"/>
                            <v:imagedata o:title=""/>
                            <o:lock v:ext="edit" aspectratio="f"/>
                          </v:shape>
                        </w:pict>
                      </mc:Fallback>
                    </mc:AlternateContent>
                  </w:r>
                  <w:r>
                    <w:rPr>
                      <w:rFonts w:hint="eastAsia" w:cs="Times New Roman"/>
                      <w:b/>
                      <w:color w:val="auto"/>
                      <w:sz w:val="24"/>
                      <w:highlight w:val="none"/>
                      <w:lang w:val="en-US" w:eastAsia="zh-CN"/>
                    </w:rPr>
                    <w:drawing>
                      <wp:inline distT="0" distB="0" distL="114300" distR="114300">
                        <wp:extent cx="6066790" cy="3503295"/>
                        <wp:effectExtent l="0" t="0" r="13970" b="1905"/>
                        <wp:docPr id="11" name="图片 11" descr="8cfcf3b1b2bd207bd71971ab79942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8cfcf3b1b2bd207bd71971ab799423b"/>
                                <pic:cNvPicPr>
                                  <a:picLocks noChangeAspect="1"/>
                                </pic:cNvPicPr>
                              </pic:nvPicPr>
                              <pic:blipFill>
                                <a:blip r:embed="rId26"/>
                                <a:srcRect b="33530"/>
                                <a:stretch>
                                  <a:fillRect/>
                                </a:stretch>
                              </pic:blipFill>
                              <pic:spPr>
                                <a:xfrm>
                                  <a:off x="0" y="0"/>
                                  <a:ext cx="6066790" cy="35032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gridSpan w:val="2"/>
                </w:tcPr>
                <w:p>
                  <w:pPr>
                    <w:jc w:val="center"/>
                    <w:rPr>
                      <w:rFonts w:hint="eastAsia" w:cs="Times New Roman"/>
                      <w:b/>
                      <w:color w:val="auto"/>
                      <w:sz w:val="24"/>
                      <w:highlight w:val="none"/>
                      <w:lang w:val="en-US" w:eastAsia="zh-CN"/>
                    </w:rPr>
                  </w:pPr>
                  <w:r>
                    <w:rPr>
                      <w:rFonts w:hint="eastAsia" w:ascii="Times New Roman" w:hAnsi="Times New Roman" w:eastAsia="宋体" w:cs="Times New Roman"/>
                      <w:b/>
                      <w:color w:val="auto"/>
                      <w:spacing w:val="0"/>
                      <w:w w:val="100"/>
                      <w:kern w:val="2"/>
                      <w:sz w:val="24"/>
                      <w:highlight w:val="none"/>
                      <w:lang w:val="en-US" w:eastAsia="zh-CN" w:bidi="zh-CN"/>
                    </w:rPr>
                    <w:t>本项目设置的泄露检测光纤设施</w:t>
                  </w:r>
                </w:p>
              </w:tc>
            </w:tr>
          </w:tbl>
          <w:p>
            <w:pPr>
              <w:bidi w:val="0"/>
              <w:spacing w:line="360" w:lineRule="auto"/>
              <w:jc w:val="center"/>
              <w:rPr>
                <w:rFonts w:hint="default"/>
                <w:color w:val="auto"/>
                <w:lang w:val="en-US" w:eastAsia="zh-CN"/>
              </w:rPr>
            </w:pPr>
            <w:r>
              <w:rPr>
                <w:rFonts w:hint="eastAsia" w:cs="Times New Roman"/>
                <w:b/>
                <w:color w:val="auto"/>
                <w:sz w:val="24"/>
                <w:highlight w:val="none"/>
                <w:lang w:val="en-US" w:eastAsia="zh-CN"/>
              </w:rPr>
              <w:t>图7-1 本项目施工工程中环保措施执行情况</w:t>
            </w:r>
          </w:p>
        </w:tc>
      </w:tr>
    </w:tbl>
    <w:p>
      <w:pPr>
        <w:pStyle w:val="2"/>
        <w:jc w:val="center"/>
        <w:rPr>
          <w:rFonts w:hint="default" w:ascii="Times New Roman" w:hAnsi="Times New Roman"/>
          <w:b/>
          <w:color w:val="auto"/>
          <w:sz w:val="32"/>
        </w:rPr>
      </w:pPr>
      <w:r>
        <w:rPr>
          <w:rFonts w:hint="default" w:ascii="Times New Roman" w:hAnsi="Times New Roman"/>
          <w:b/>
          <w:color w:val="auto"/>
          <w:sz w:val="32"/>
        </w:rPr>
        <w:t>表</w:t>
      </w:r>
      <w:r>
        <w:rPr>
          <w:rFonts w:hint="eastAsia" w:ascii="Times New Roman" w:hAnsi="Times New Roman"/>
          <w:b/>
          <w:color w:val="auto"/>
          <w:sz w:val="32"/>
          <w:lang w:val="en-US" w:eastAsia="zh-CN"/>
        </w:rPr>
        <w:t xml:space="preserve"> 8</w:t>
      </w:r>
      <w:r>
        <w:rPr>
          <w:rFonts w:hint="default" w:ascii="Times New Roman" w:hAnsi="Times New Roman"/>
          <w:b/>
          <w:color w:val="auto"/>
          <w:sz w:val="32"/>
        </w:rPr>
        <w:t xml:space="preserve">  环境管理状况及监测计划</w:t>
      </w:r>
    </w:p>
    <w:tbl>
      <w:tblPr>
        <w:tblStyle w:val="22"/>
        <w:tblpPr w:leftFromText="180" w:rightFromText="180" w:vertAnchor="text" w:tblpX="1" w:tblpY="1"/>
        <w:tblOverlap w:val="never"/>
        <w:tblW w:w="9705"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970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3573" w:hRule="atLeast"/>
        </w:trPr>
        <w:tc>
          <w:tcPr>
            <w:tcW w:w="9705"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监测点位、因子和频率（根据项目特征，选址水、气、声、固废、振动、生态等</w:t>
            </w:r>
            <w:r>
              <w:rPr>
                <w:rFonts w:hint="eastAsia" w:cs="Times New Roman"/>
                <w:b/>
                <w:color w:val="auto"/>
                <w:spacing w:val="0"/>
                <w:w w:val="100"/>
                <w:sz w:val="24"/>
                <w:szCs w:val="24"/>
                <w:lang w:val="en-US" w:eastAsia="zh-CN"/>
              </w:rPr>
              <w:t>）</w:t>
            </w:r>
          </w:p>
          <w:p>
            <w:pPr>
              <w:keepNext w:val="0"/>
              <w:keepLines w:val="0"/>
              <w:suppressLineNumbers w:val="0"/>
              <w:adjustRightInd w:val="0"/>
              <w:spacing w:before="0" w:beforeAutospacing="0" w:after="0" w:afterAutospacing="0" w:line="360" w:lineRule="auto"/>
              <w:ind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szCs w:val="24"/>
                <w:lang w:val="en-US" w:eastAsia="zh-CN"/>
              </w:rPr>
              <w:t>本项目主要建设内容为热水管线铺设</w:t>
            </w:r>
            <w:r>
              <w:rPr>
                <w:rFonts w:hint="eastAsia" w:cs="Times New Roman"/>
                <w:color w:val="auto"/>
                <w:sz w:val="24"/>
                <w:szCs w:val="24"/>
                <w:lang w:val="en-US" w:eastAsia="zh-CN"/>
              </w:rPr>
              <w:t>是</w:t>
            </w:r>
            <w:r>
              <w:rPr>
                <w:rFonts w:hint="eastAsia" w:ascii="Times New Roman" w:hAnsi="Times New Roman" w:eastAsia="宋体" w:cs="Times New Roman"/>
                <w:color w:val="auto"/>
                <w:sz w:val="24"/>
                <w:szCs w:val="24"/>
                <w:lang w:val="en-US" w:eastAsia="zh-CN"/>
              </w:rPr>
              <w:t>市政供公用工程，</w:t>
            </w:r>
            <w:r>
              <w:rPr>
                <w:rFonts w:hint="eastAsia" w:ascii="Times New Roman" w:hAnsi="Times New Roman" w:eastAsia="宋体" w:cs="Times New Roman"/>
                <w:color w:val="auto"/>
                <w:sz w:val="24"/>
                <w:highlight w:val="none"/>
                <w:lang w:val="en-US" w:eastAsia="zh-CN"/>
              </w:rPr>
              <w:t>根据建设内容及环评文件和批复要求，本项目属于非污染生态影响型项目，</w:t>
            </w:r>
            <w:r>
              <w:rPr>
                <w:rFonts w:hint="eastAsia" w:cs="Times New Roman"/>
                <w:color w:val="auto"/>
                <w:sz w:val="24"/>
                <w:highlight w:val="none"/>
                <w:lang w:val="en-US" w:eastAsia="zh-CN"/>
              </w:rPr>
              <w:t>在</w:t>
            </w:r>
            <w:r>
              <w:rPr>
                <w:rFonts w:hint="eastAsia" w:ascii="Times New Roman" w:hAnsi="Times New Roman" w:eastAsia="宋体" w:cs="Times New Roman"/>
                <w:color w:val="auto"/>
                <w:sz w:val="24"/>
                <w:highlight w:val="none"/>
                <w:lang w:val="en-US" w:eastAsia="zh-CN"/>
              </w:rPr>
              <w:t>运营期</w:t>
            </w:r>
            <w:r>
              <w:rPr>
                <w:rFonts w:hint="eastAsia"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本身不产生废水、废气、噪声、固体废物等污染物</w:t>
            </w:r>
            <w:r>
              <w:rPr>
                <w:rFonts w:hint="eastAsia" w:cs="Times New Roman"/>
                <w:color w:val="auto"/>
                <w:sz w:val="24"/>
                <w:highlight w:val="none"/>
                <w:lang w:val="en-US" w:eastAsia="zh-CN"/>
              </w:rPr>
              <w:t>，</w:t>
            </w:r>
            <w:r>
              <w:rPr>
                <w:rFonts w:hint="eastAsia" w:ascii="Times New Roman" w:hAnsi="Times New Roman" w:eastAsia="宋体" w:cs="Times New Roman"/>
                <w:color w:val="auto"/>
                <w:sz w:val="24"/>
                <w:highlight w:val="none"/>
                <w:lang w:val="en-US" w:eastAsia="zh-CN"/>
              </w:rPr>
              <w:t>本次验收主要对项目</w:t>
            </w:r>
            <w:r>
              <w:rPr>
                <w:rFonts w:hint="eastAsia" w:cs="Times New Roman"/>
                <w:color w:val="auto"/>
                <w:sz w:val="24"/>
                <w:highlight w:val="none"/>
                <w:lang w:val="en-US" w:eastAsia="zh-CN"/>
              </w:rPr>
              <w:t>周边</w:t>
            </w:r>
            <w:r>
              <w:rPr>
                <w:rFonts w:hint="eastAsia" w:ascii="Times New Roman" w:hAnsi="Times New Roman" w:eastAsia="宋体" w:cs="Times New Roman"/>
                <w:color w:val="auto"/>
                <w:sz w:val="24"/>
                <w:highlight w:val="none"/>
                <w:lang w:val="en-US" w:eastAsia="zh-CN"/>
              </w:rPr>
              <w:t>生态恢复情况进行调查。</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cs="Times New Roman"/>
                <w:color w:val="auto"/>
                <w:sz w:val="24"/>
                <w:highlight w:val="none"/>
                <w:lang w:val="en-US" w:eastAsia="zh-CN"/>
              </w:rPr>
              <w:t>因此，</w:t>
            </w:r>
            <w:r>
              <w:rPr>
                <w:rFonts w:hint="default" w:ascii="Times New Roman" w:hAnsi="Times New Roman" w:eastAsia="宋体" w:cs="Times New Roman"/>
                <w:color w:val="auto"/>
                <w:sz w:val="24"/>
                <w:highlight w:val="none"/>
                <w:lang w:val="en-US" w:eastAsia="zh-CN"/>
              </w:rPr>
              <w:t>本次验收不</w:t>
            </w:r>
            <w:r>
              <w:rPr>
                <w:rFonts w:hint="eastAsia" w:ascii="Times New Roman" w:hAnsi="Times New Roman" w:eastAsia="宋体" w:cs="Times New Roman"/>
                <w:color w:val="auto"/>
                <w:sz w:val="24"/>
                <w:highlight w:val="none"/>
                <w:lang w:val="en-US" w:eastAsia="zh-CN"/>
              </w:rPr>
              <w:t>对本项目进行</w:t>
            </w:r>
            <w:r>
              <w:rPr>
                <w:rFonts w:hint="default" w:ascii="Times New Roman" w:hAnsi="Times New Roman" w:eastAsia="宋体" w:cs="Times New Roman"/>
                <w:color w:val="auto"/>
                <w:sz w:val="24"/>
                <w:highlight w:val="none"/>
                <w:lang w:val="en-US" w:eastAsia="zh-CN"/>
              </w:rPr>
              <w:t>环境监测。</w:t>
            </w:r>
          </w:p>
          <w:p>
            <w:pPr>
              <w:keepNext w:val="0"/>
              <w:keepLines w:val="0"/>
              <w:suppressLineNumbers w:val="0"/>
              <w:adjustRightInd w:val="0"/>
              <w:spacing w:before="0" w:beforeAutospacing="0" w:after="0" w:afterAutospacing="0" w:line="360" w:lineRule="auto"/>
              <w:ind w:right="0"/>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ascii="Times New Roman" w:hAnsi="Times New Roman" w:eastAsia="宋体" w:cs="Times New Roman"/>
                <w:color w:val="auto"/>
                <w:sz w:val="24"/>
                <w:highlight w:val="none"/>
                <w:lang w:val="en-US" w:eastAsia="zh-CN"/>
              </w:rPr>
            </w:pPr>
          </w:p>
          <w:p>
            <w:pPr>
              <w:rPr>
                <w:rFonts w:hint="default" w:ascii="Times New Roman" w:hAnsi="Times New Roman" w:eastAsia="宋体" w:cs="Times New Roman"/>
                <w:color w:val="auto"/>
                <w:sz w:val="24"/>
                <w:highlight w:val="none"/>
                <w:lang w:val="en-US" w:eastAsia="zh-CN"/>
              </w:rPr>
            </w:pPr>
          </w:p>
          <w:p>
            <w:pPr>
              <w:pStyle w:val="21"/>
              <w:rPr>
                <w:rFonts w:hint="default"/>
                <w:color w:val="auto"/>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p>
          <w:p>
            <w:pPr>
              <w:pStyle w:val="21"/>
              <w:rPr>
                <w:rFonts w:hint="eastAsia" w:ascii="Times New Roman" w:hAnsi="Times New Roman" w:eastAsia="宋体" w:cs="Times New Roman"/>
                <w:color w:val="auto"/>
                <w:sz w:val="24"/>
                <w:highlight w:val="none"/>
                <w:lang w:val="en-US" w:eastAsia="zh-CN"/>
              </w:rPr>
            </w:pPr>
          </w:p>
          <w:p>
            <w:pPr>
              <w:rPr>
                <w:rFonts w:hint="eastAsia"/>
                <w:color w:val="auto"/>
                <w:lang w:val="en-US" w:eastAsia="zh-CN"/>
              </w:rPr>
            </w:pPr>
          </w:p>
          <w:p>
            <w:pPr>
              <w:spacing w:line="274" w:lineRule="exact"/>
              <w:jc w:val="left"/>
              <w:rPr>
                <w:color w:val="auto"/>
                <w:szCs w:val="21"/>
              </w:rPr>
            </w:pPr>
          </w:p>
        </w:tc>
      </w:tr>
    </w:tbl>
    <w:p>
      <w:pPr>
        <w:pStyle w:val="2"/>
        <w:jc w:val="center"/>
        <w:rPr>
          <w:rFonts w:hint="default" w:ascii="Times New Roman" w:hAnsi="Times New Roman"/>
          <w:b/>
          <w:color w:val="auto"/>
          <w:sz w:val="32"/>
        </w:rPr>
      </w:pPr>
      <w:r>
        <w:rPr>
          <w:rFonts w:hint="default" w:ascii="Times New Roman" w:hAnsi="Times New Roman"/>
          <w:b/>
          <w:color w:val="auto"/>
          <w:sz w:val="32"/>
        </w:rPr>
        <w:t xml:space="preserve">表 </w:t>
      </w:r>
      <w:r>
        <w:rPr>
          <w:rFonts w:hint="eastAsia" w:ascii="Times New Roman" w:hAnsi="Times New Roman"/>
          <w:b/>
          <w:color w:val="auto"/>
          <w:sz w:val="32"/>
          <w:lang w:val="en-US" w:eastAsia="zh-CN"/>
        </w:rPr>
        <w:t>9</w:t>
      </w:r>
      <w:r>
        <w:rPr>
          <w:rFonts w:hint="default" w:ascii="Times New Roman" w:hAnsi="Times New Roman"/>
          <w:b/>
          <w:color w:val="auto"/>
          <w:sz w:val="32"/>
        </w:rPr>
        <w:t xml:space="preserve"> 环境管理状况及监测计划</w:t>
      </w:r>
    </w:p>
    <w:tbl>
      <w:tblPr>
        <w:tblStyle w:val="22"/>
        <w:tblpPr w:leftFromText="180" w:rightFromText="180" w:vertAnchor="text" w:tblpX="1" w:tblpY="1"/>
        <w:tblOverlap w:val="never"/>
        <w:tblW w:w="9722"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972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858" w:hRule="atLeast"/>
        </w:trPr>
        <w:tc>
          <w:tcPr>
            <w:tcW w:w="9722"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环境管理机构设置（分施工期和运行期）</w:t>
            </w:r>
          </w:p>
          <w:p>
            <w:pPr>
              <w:pStyle w:val="21"/>
              <w:spacing w:after="0" w:line="360" w:lineRule="auto"/>
              <w:ind w:left="0" w:leftChars="0" w:firstLine="480"/>
              <w:jc w:val="both"/>
              <w:rPr>
                <w:rFonts w:hint="eastAsia"/>
                <w:color w:val="auto"/>
                <w:sz w:val="24"/>
                <w:szCs w:val="24"/>
                <w:lang w:val="en-US" w:eastAsia="zh-CN"/>
              </w:rPr>
            </w:pPr>
            <w:r>
              <w:rPr>
                <w:rFonts w:hint="eastAsia"/>
                <w:color w:val="auto"/>
                <w:sz w:val="24"/>
                <w:szCs w:val="24"/>
                <w:lang w:val="en-US" w:eastAsia="zh-CN"/>
              </w:rPr>
              <w:t>施工期：</w:t>
            </w:r>
          </w:p>
          <w:p>
            <w:pPr>
              <w:pStyle w:val="21"/>
              <w:spacing w:after="0" w:line="360" w:lineRule="auto"/>
              <w:ind w:left="0" w:leftChars="0" w:firstLine="480"/>
              <w:jc w:val="both"/>
              <w:rPr>
                <w:rFonts w:hint="eastAsia"/>
                <w:color w:val="auto"/>
                <w:sz w:val="24"/>
                <w:szCs w:val="24"/>
                <w:lang w:val="en-US" w:eastAsia="zh-CN"/>
              </w:rPr>
            </w:pPr>
            <w:r>
              <w:rPr>
                <w:rFonts w:hint="eastAsia"/>
                <w:color w:val="auto"/>
                <w:sz w:val="24"/>
                <w:szCs w:val="24"/>
                <w:lang w:val="en-US" w:eastAsia="zh-CN"/>
              </w:rPr>
              <w:t>本项目施工期由监理单位（建成工程管理集团有限公司）对工程施工进行现场监理，并委托专人对项目施工期环保措施执行情况进行监理，督促各项措施的落实。</w:t>
            </w:r>
          </w:p>
          <w:p>
            <w:pPr>
              <w:pStyle w:val="21"/>
              <w:spacing w:after="0" w:line="360" w:lineRule="auto"/>
              <w:ind w:left="0" w:leftChars="0" w:firstLine="480"/>
              <w:jc w:val="both"/>
              <w:rPr>
                <w:rFonts w:hint="eastAsia"/>
                <w:color w:val="auto"/>
                <w:sz w:val="24"/>
                <w:szCs w:val="24"/>
                <w:lang w:val="en-US" w:eastAsia="zh-CN"/>
              </w:rPr>
            </w:pPr>
            <w:r>
              <w:rPr>
                <w:rFonts w:hint="eastAsia"/>
                <w:color w:val="auto"/>
                <w:sz w:val="24"/>
                <w:szCs w:val="24"/>
                <w:lang w:val="en-US" w:eastAsia="zh-CN"/>
              </w:rPr>
              <w:t>营运期：</w:t>
            </w:r>
          </w:p>
          <w:p>
            <w:pPr>
              <w:pStyle w:val="21"/>
              <w:spacing w:after="0" w:line="360" w:lineRule="auto"/>
              <w:ind w:left="0" w:leftChars="0" w:firstLine="480"/>
              <w:jc w:val="both"/>
              <w:rPr>
                <w:rFonts w:hint="eastAsia"/>
                <w:color w:val="auto"/>
                <w:sz w:val="24"/>
                <w:szCs w:val="24"/>
                <w:lang w:val="en-US" w:eastAsia="zh-CN"/>
              </w:rPr>
            </w:pPr>
            <w:r>
              <w:rPr>
                <w:rFonts w:hint="eastAsia"/>
                <w:color w:val="auto"/>
                <w:sz w:val="24"/>
                <w:szCs w:val="24"/>
                <w:lang w:val="en-US" w:eastAsia="zh-CN"/>
              </w:rPr>
              <w:t>项目营运期的环境管理由济南热力集团有限公司负责，公司生产管理部是境保护工作的归口管理部门，配备了专职人员负责日常环保工作的管理和监督，加强对周边环境的生态环境管理，公司制定了切实有效的环境保护管理制度，全力推进环保工作的落实。</w:t>
            </w:r>
          </w:p>
          <w:p>
            <w:pPr>
              <w:spacing w:line="274" w:lineRule="exact"/>
              <w:jc w:val="left"/>
              <w:rPr>
                <w:color w:val="auto"/>
                <w:sz w:val="1"/>
                <w:szCs w:val="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57" w:hRule="atLeast"/>
        </w:trPr>
        <w:tc>
          <w:tcPr>
            <w:tcW w:w="9722"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环境监测能力建设情况</w:t>
            </w:r>
            <w:r>
              <w:rPr>
                <w:rFonts w:hint="eastAsia" w:cs="Times New Roman"/>
                <w:b/>
                <w:color w:val="auto"/>
                <w:spacing w:val="0"/>
                <w:w w:val="100"/>
                <w:sz w:val="24"/>
                <w:szCs w:val="24"/>
                <w:lang w:val="en-US" w:eastAsia="zh-CN"/>
              </w:rPr>
              <w:t>：</w:t>
            </w:r>
          </w:p>
          <w:p>
            <w:pPr>
              <w:spacing w:line="360" w:lineRule="auto"/>
              <w:ind w:firstLine="480" w:firstLineChars="200"/>
              <w:rPr>
                <w:color w:val="auto"/>
                <w:sz w:val="24"/>
                <w:szCs w:val="22"/>
              </w:rPr>
            </w:pPr>
            <w:r>
              <w:rPr>
                <w:rFonts w:hint="eastAsia" w:cs="Times New Roman"/>
                <w:color w:val="auto"/>
                <w:sz w:val="24"/>
                <w:szCs w:val="24"/>
                <w:lang w:val="en-US" w:eastAsia="zh-CN"/>
              </w:rPr>
              <w:t>本项目建成投用后，在运营期无废水、废气、固废等污染物产生，对环境基本无影响，环境影响报告表中未对营运期提出监测计划。</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1794" w:hRule="atLeast"/>
        </w:trPr>
        <w:tc>
          <w:tcPr>
            <w:tcW w:w="9722"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环境影响报告表中提出的监测计划及其落实情况：</w:t>
            </w:r>
          </w:p>
          <w:p>
            <w:pPr>
              <w:spacing w:line="360" w:lineRule="auto"/>
              <w:ind w:firstLine="480" w:firstLineChars="200"/>
              <w:rPr>
                <w:color w:val="auto"/>
                <w:sz w:val="24"/>
                <w:szCs w:val="22"/>
              </w:rPr>
            </w:pPr>
            <w:r>
              <w:rPr>
                <w:rFonts w:hint="eastAsia" w:cs="Times New Roman"/>
                <w:color w:val="auto"/>
                <w:sz w:val="24"/>
                <w:szCs w:val="24"/>
                <w:lang w:val="en-US" w:eastAsia="zh-CN"/>
              </w:rPr>
              <w:t>本项目建成投用后，在运营期无废水、废气、固废、噪声等污染物产生，对环境基本无影响，环境影响报告表中未对营运期提出监测计划。</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20" w:hRule="atLeast"/>
        </w:trPr>
        <w:tc>
          <w:tcPr>
            <w:tcW w:w="9722" w:type="dxa"/>
            <w:tcBorders>
              <w:tl2br w:val="nil"/>
              <w:tr2bl w:val="nil"/>
            </w:tcBorders>
            <w:vAlign w:val="center"/>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环境管理状况分析与建议：</w:t>
            </w:r>
          </w:p>
          <w:p>
            <w:pPr>
              <w:spacing w:line="360" w:lineRule="auto"/>
              <w:ind w:firstLine="480" w:firstLineChars="200"/>
              <w:jc w:val="left"/>
              <w:rPr>
                <w:color w:val="auto"/>
                <w:szCs w:val="21"/>
              </w:rPr>
            </w:pPr>
            <w:r>
              <w:rPr>
                <w:rFonts w:hint="eastAsia" w:cs="Times New Roman"/>
                <w:color w:val="auto"/>
                <w:sz w:val="24"/>
                <w:szCs w:val="24"/>
                <w:lang w:val="en-US" w:eastAsia="zh-CN"/>
              </w:rPr>
              <w:t>本项目在营运期对周围环境基本无影响，不产生废水、废气、固废、噪声等污染物。环境管理措施主要针对施工期进行制定。经过调查，本项目在施工期环境管理状况良好，认真落实、实施了环境影响报告表及其批复提出的环保措施，未因环境问题受到举报或投诉造成不良社会影响。</w:t>
            </w:r>
          </w:p>
        </w:tc>
      </w:tr>
    </w:tbl>
    <w:p>
      <w:pPr>
        <w:pStyle w:val="2"/>
        <w:jc w:val="center"/>
        <w:rPr>
          <w:rFonts w:hint="default" w:ascii="Times New Roman" w:hAnsi="Times New Roman"/>
          <w:b/>
          <w:color w:val="auto"/>
          <w:sz w:val="32"/>
        </w:rPr>
      </w:pPr>
      <w:r>
        <w:rPr>
          <w:rFonts w:hint="default" w:ascii="Times New Roman" w:hAnsi="Times New Roman"/>
          <w:b/>
          <w:color w:val="auto"/>
          <w:sz w:val="32"/>
        </w:rPr>
        <w:t xml:space="preserve">表 </w:t>
      </w:r>
      <w:r>
        <w:rPr>
          <w:rFonts w:hint="eastAsia" w:ascii="Times New Roman" w:hAnsi="Times New Roman"/>
          <w:b/>
          <w:color w:val="auto"/>
          <w:sz w:val="32"/>
          <w:lang w:val="en-US" w:eastAsia="zh-CN"/>
        </w:rPr>
        <w:t>10</w:t>
      </w:r>
      <w:r>
        <w:rPr>
          <w:rFonts w:hint="default" w:ascii="Times New Roman" w:hAnsi="Times New Roman"/>
          <w:b/>
          <w:color w:val="auto"/>
          <w:sz w:val="32"/>
        </w:rPr>
        <w:t xml:space="preserve"> 调查结论与建议</w:t>
      </w:r>
    </w:p>
    <w:tbl>
      <w:tblPr>
        <w:tblStyle w:val="22"/>
        <w:tblW w:w="9662" w:type="dxa"/>
        <w:jc w:val="center"/>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9662"/>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13572" w:hRule="atLeast"/>
          <w:jc w:val="center"/>
        </w:trPr>
        <w:tc>
          <w:tcPr>
            <w:tcW w:w="9662" w:type="dxa"/>
          </w:tcPr>
          <w:p>
            <w:pPr>
              <w:keepNext w:val="0"/>
              <w:keepLines w:val="0"/>
              <w:pageBreakBefore w:val="0"/>
              <w:widowControl w:val="0"/>
              <w:numPr>
                <w:ilvl w:val="0"/>
                <w:numId w:val="0"/>
              </w:numPr>
              <w:kinsoku/>
              <w:wordWrap/>
              <w:overflowPunct/>
              <w:topLinePunct w:val="0"/>
              <w:autoSpaceDE/>
              <w:autoSpaceDN/>
              <w:bidi w:val="0"/>
              <w:adjustRightInd w:val="0"/>
              <w:snapToGrid/>
              <w:spacing w:before="0" w:beforeLines="50" w:line="360" w:lineRule="auto"/>
              <w:ind w:firstLine="482" w:firstLineChars="200"/>
              <w:jc w:val="both"/>
              <w:textAlignment w:val="auto"/>
              <w:outlineLvl w:val="9"/>
              <w:rPr>
                <w:rFonts w:hint="default" w:ascii="Times New Roman" w:hAnsi="Times New Roman" w:eastAsia="宋体" w:cs="Times New Roman"/>
                <w:b/>
                <w:color w:val="auto"/>
                <w:spacing w:val="0"/>
                <w:w w:val="100"/>
                <w:sz w:val="24"/>
                <w:szCs w:val="24"/>
                <w:lang w:val="en-US" w:eastAsia="zh-CN"/>
              </w:rPr>
            </w:pPr>
            <w:r>
              <w:rPr>
                <w:rFonts w:hint="default" w:ascii="Times New Roman" w:hAnsi="Times New Roman" w:eastAsia="宋体" w:cs="Times New Roman"/>
                <w:b/>
                <w:color w:val="auto"/>
                <w:spacing w:val="0"/>
                <w:w w:val="100"/>
                <w:sz w:val="24"/>
                <w:szCs w:val="24"/>
                <w:lang w:val="en-US" w:eastAsia="zh-CN"/>
              </w:rPr>
              <w:t>调查结论与建议</w:t>
            </w:r>
            <w:r>
              <w:rPr>
                <w:rFonts w:hint="eastAsia" w:ascii="Times New Roman" w:hAnsi="Times New Roman" w:eastAsia="宋体" w:cs="Times New Roman"/>
                <w:b/>
                <w:color w:val="auto"/>
                <w:spacing w:val="0"/>
                <w:w w:val="100"/>
                <w:sz w:val="24"/>
                <w:szCs w:val="24"/>
                <w:lang w:val="en-US" w:eastAsia="zh-CN"/>
              </w:rPr>
              <w:t>：</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通过对《济南热力集团有限公司</w:t>
            </w:r>
            <w:r>
              <w:rPr>
                <w:rFonts w:hint="eastAsia" w:ascii="宋体" w:hAnsi="宋体" w:cs="宋体"/>
                <w:color w:val="auto"/>
                <w:sz w:val="24"/>
                <w:szCs w:val="24"/>
                <w:lang w:val="en-US" w:eastAsia="zh-CN"/>
              </w:rPr>
              <w:t>石热入济长距离输送供热工程（泰安段）</w:t>
            </w:r>
            <w:r>
              <w:rPr>
                <w:rFonts w:hint="eastAsia" w:ascii="Times New Roman" w:hAnsi="Times New Roman" w:eastAsia="宋体" w:cs="Times New Roman"/>
                <w:color w:val="auto"/>
                <w:sz w:val="24"/>
                <w:szCs w:val="24"/>
                <w:lang w:val="en-US" w:eastAsia="zh-CN"/>
              </w:rPr>
              <w:t>》项目环境状况调查、有关项目设计的分析，对项目环保执行情况、环境保护措施的重点调查以及对项目区域的水环境、气环境、生态环境、声环境的监测、调查分析，从环境保护角度对该工程提出以下调查结论和建议：</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（一）项目概况</w:t>
            </w:r>
          </w:p>
          <w:p>
            <w:pPr>
              <w:pStyle w:val="21"/>
              <w:spacing w:after="0" w:line="360" w:lineRule="auto"/>
              <w:ind w:left="0" w:leftChars="0" w:firstLine="480"/>
              <w:jc w:val="both"/>
              <w:rPr>
                <w:rFonts w:hint="eastAsia"/>
                <w:color w:val="auto"/>
                <w:sz w:val="24"/>
                <w:szCs w:val="24"/>
                <w:lang w:val="en-US" w:eastAsia="zh-CN"/>
              </w:rPr>
            </w:pPr>
            <w:r>
              <w:rPr>
                <w:rFonts w:hint="eastAsia"/>
                <w:color w:val="auto"/>
                <w:sz w:val="24"/>
                <w:szCs w:val="24"/>
                <w:lang w:val="en-US" w:eastAsia="zh-CN"/>
              </w:rPr>
              <w:t>济南热力集团有限公司是济南市属国有独资大型能源企业，隶属于济南能源集团有限公司，是集热力生产、供应与服务，能源技术开发、咨询与应用，能源设施建设与维修于一体的综合性大型企业，主要承担济南市区域内的供热保障任务。集团公司注册资本6亿元，资产总额228.45亿元，现有职工2629人，供热开户面积2.56亿平方米。集团公司下辖16个子公司，换热站3056座，调峰热源厂一座，供热管网7673.408公里，工业用户10家。</w:t>
            </w:r>
          </w:p>
          <w:p>
            <w:pPr>
              <w:pStyle w:val="21"/>
              <w:spacing w:after="0" w:line="360" w:lineRule="auto"/>
              <w:ind w:left="0" w:leftChars="0" w:firstLine="480"/>
              <w:jc w:val="both"/>
              <w:rPr>
                <w:rFonts w:hint="eastAsia"/>
                <w:color w:val="auto"/>
                <w:sz w:val="24"/>
                <w:szCs w:val="24"/>
                <w:lang w:val="en-US" w:eastAsia="zh-CN"/>
              </w:rPr>
            </w:pPr>
            <w:r>
              <w:rPr>
                <w:rFonts w:hint="eastAsia"/>
                <w:color w:val="auto"/>
                <w:sz w:val="24"/>
                <w:szCs w:val="24"/>
                <w:lang w:val="en-US" w:eastAsia="zh-CN"/>
              </w:rPr>
              <w:t>为解决济南西部城区居民冬季清洁取暖的问题，同时降低城市总体煤炭能源消耗，济南热力集团有限公司按照济南市委、市政府域外余热引入工作部署，规划建设了“石热入济长距离输送供热工程（泰安段）”，作为外热入济通道的重要组成部分，充分利用济南域外余热资源，向济南中西部城区供暖，可为济南西部城区及长清区输送约25600m</w:t>
            </w:r>
            <w:r>
              <w:rPr>
                <w:rFonts w:hint="eastAsia"/>
                <w:color w:val="auto"/>
                <w:sz w:val="24"/>
                <w:szCs w:val="24"/>
                <w:vertAlign w:val="superscript"/>
                <w:lang w:val="en-US" w:eastAsia="zh-CN"/>
              </w:rPr>
              <w:t>3</w:t>
            </w:r>
            <w:r>
              <w:rPr>
                <w:rFonts w:hint="eastAsia"/>
                <w:color w:val="auto"/>
                <w:sz w:val="24"/>
                <w:szCs w:val="24"/>
                <w:lang w:val="en-US" w:eastAsia="zh-CN"/>
              </w:rPr>
              <w:t>/h热水流量，可解决7000万m</w:t>
            </w:r>
            <w:r>
              <w:rPr>
                <w:rFonts w:hint="eastAsia"/>
                <w:color w:val="auto"/>
                <w:sz w:val="24"/>
                <w:szCs w:val="24"/>
                <w:vertAlign w:val="superscript"/>
                <w:lang w:val="en-US" w:eastAsia="zh-CN"/>
              </w:rPr>
              <w:t>2</w:t>
            </w:r>
            <w:r>
              <w:rPr>
                <w:rFonts w:hint="eastAsia"/>
                <w:color w:val="auto"/>
                <w:sz w:val="24"/>
                <w:szCs w:val="24"/>
                <w:lang w:val="en-US" w:eastAsia="zh-CN"/>
              </w:rPr>
              <w:t>的供热需求，有效弥补供热缺口。此外，通过多项技术提温升质后集中供热，替代城区燃煤锅炉取暖，减少城市煤炭消耗和降低大气环境污染；同时避免城市建设大量分散燃气壁挂炉等取暖，造成冬季气源紧张和氮氧化物排放浓度较高等二次污染，对济南市节能减排和大气环境质量改善起到良好促进作用。</w:t>
            </w:r>
          </w:p>
          <w:p>
            <w:pPr>
              <w:spacing w:line="360" w:lineRule="auto"/>
              <w:ind w:firstLine="480" w:firstLineChars="200"/>
              <w:rPr>
                <w:rFonts w:hint="default"/>
                <w:color w:val="auto"/>
                <w:sz w:val="24"/>
                <w:szCs w:val="24"/>
                <w:lang w:val="en-US" w:eastAsia="zh-CN"/>
              </w:rPr>
            </w:pPr>
            <w:r>
              <w:rPr>
                <w:rFonts w:hint="eastAsia"/>
                <w:color w:val="auto"/>
                <w:sz w:val="24"/>
                <w:szCs w:val="24"/>
                <w:lang w:val="en-US" w:eastAsia="zh-CN"/>
              </w:rPr>
              <w:t>“石热入济长距离输送供热工程（泰安段）”</w:t>
            </w:r>
            <w:r>
              <w:rPr>
                <w:rFonts w:hint="default"/>
                <w:color w:val="auto"/>
                <w:sz w:val="24"/>
                <w:szCs w:val="24"/>
                <w:lang w:val="en-US" w:eastAsia="zh-CN"/>
              </w:rPr>
              <w:t>（以下简称</w:t>
            </w:r>
            <w:r>
              <w:rPr>
                <w:rFonts w:hint="eastAsia"/>
                <w:color w:val="auto"/>
                <w:sz w:val="24"/>
                <w:szCs w:val="24"/>
                <w:lang w:val="en-US" w:eastAsia="zh-CN"/>
              </w:rPr>
              <w:t>“</w:t>
            </w:r>
            <w:r>
              <w:rPr>
                <w:rFonts w:hint="default"/>
                <w:color w:val="auto"/>
                <w:sz w:val="24"/>
                <w:szCs w:val="24"/>
                <w:lang w:val="en-US" w:eastAsia="zh-CN"/>
              </w:rPr>
              <w:t>本项目</w:t>
            </w:r>
            <w:r>
              <w:rPr>
                <w:rFonts w:hint="eastAsia"/>
                <w:color w:val="auto"/>
                <w:sz w:val="24"/>
                <w:szCs w:val="24"/>
                <w:lang w:val="en-US" w:eastAsia="zh-CN"/>
              </w:rPr>
              <w:t>”</w:t>
            </w:r>
            <w:r>
              <w:rPr>
                <w:rFonts w:hint="default"/>
                <w:color w:val="auto"/>
                <w:sz w:val="24"/>
                <w:szCs w:val="24"/>
                <w:lang w:val="en-US" w:eastAsia="zh-CN"/>
              </w:rPr>
              <w:t>）作为</w:t>
            </w:r>
            <w:r>
              <w:rPr>
                <w:rFonts w:hint="eastAsia"/>
                <w:color w:val="auto"/>
                <w:sz w:val="24"/>
                <w:szCs w:val="24"/>
                <w:lang w:val="en-US" w:eastAsia="zh-CN"/>
              </w:rPr>
              <w:t>解决济南西部供热需求的重点工程</w:t>
            </w:r>
            <w:r>
              <w:rPr>
                <w:rFonts w:hint="default"/>
                <w:color w:val="auto"/>
                <w:sz w:val="24"/>
                <w:szCs w:val="24"/>
                <w:lang w:val="en-US" w:eastAsia="zh-CN"/>
              </w:rPr>
              <w:t>，目的是</w:t>
            </w:r>
            <w:r>
              <w:rPr>
                <w:rFonts w:hint="eastAsia"/>
                <w:color w:val="auto"/>
                <w:sz w:val="24"/>
                <w:szCs w:val="24"/>
                <w:lang w:val="en-US" w:eastAsia="zh-CN"/>
              </w:rPr>
              <w:t>计划将“石横电厂余热”引入济南城区。因地制宜的统筹济南周边可利用的电厂余热资源，发展长输管网集中供热， 将大幅度提高城市清洁取暖率，满足民生清洁供暖的需要。</w:t>
            </w:r>
          </w:p>
          <w:p>
            <w:pPr>
              <w:spacing w:line="360" w:lineRule="auto"/>
              <w:ind w:firstLine="480" w:firstLineChars="200"/>
              <w:rPr>
                <w:rFonts w:hint="eastAsia"/>
                <w:color w:val="auto"/>
                <w:sz w:val="24"/>
                <w:szCs w:val="24"/>
                <w:lang w:val="en-US" w:eastAsia="zh-CN"/>
              </w:rPr>
            </w:pPr>
            <w:r>
              <w:rPr>
                <w:rFonts w:hint="default"/>
                <w:color w:val="auto"/>
                <w:sz w:val="24"/>
                <w:szCs w:val="24"/>
                <w:lang w:val="en-US" w:eastAsia="zh-CN"/>
              </w:rPr>
              <w:t>202</w:t>
            </w:r>
            <w:r>
              <w:rPr>
                <w:rFonts w:hint="eastAsia"/>
                <w:color w:val="auto"/>
                <w:sz w:val="24"/>
                <w:szCs w:val="24"/>
                <w:lang w:val="en-US" w:eastAsia="zh-CN"/>
              </w:rPr>
              <w:t>3</w:t>
            </w:r>
            <w:r>
              <w:rPr>
                <w:rFonts w:hint="default"/>
                <w:color w:val="auto"/>
                <w:sz w:val="24"/>
                <w:szCs w:val="24"/>
                <w:lang w:val="en-US" w:eastAsia="zh-CN"/>
              </w:rPr>
              <w:t>年</w:t>
            </w:r>
            <w:r>
              <w:rPr>
                <w:rFonts w:hint="eastAsia"/>
                <w:color w:val="auto"/>
                <w:sz w:val="24"/>
                <w:szCs w:val="24"/>
                <w:lang w:val="en-US" w:eastAsia="zh-CN"/>
              </w:rPr>
              <w:t>04</w:t>
            </w:r>
            <w:r>
              <w:rPr>
                <w:rFonts w:hint="default"/>
                <w:color w:val="auto"/>
                <w:sz w:val="24"/>
                <w:szCs w:val="24"/>
                <w:lang w:val="en-US" w:eastAsia="zh-CN"/>
              </w:rPr>
              <w:t>月，济南热力集团有限公司委托</w:t>
            </w:r>
            <w:r>
              <w:rPr>
                <w:rFonts w:hint="eastAsia"/>
                <w:color w:val="auto"/>
                <w:sz w:val="24"/>
                <w:szCs w:val="24"/>
                <w:lang w:val="en-US" w:eastAsia="zh-CN"/>
              </w:rPr>
              <w:t>山东优纳特环境科技有限公司</w:t>
            </w:r>
            <w:r>
              <w:rPr>
                <w:rFonts w:hint="default"/>
                <w:color w:val="auto"/>
                <w:sz w:val="24"/>
                <w:szCs w:val="24"/>
                <w:lang w:val="en-US" w:eastAsia="zh-CN"/>
              </w:rPr>
              <w:t>编制了《济南热力集团有限公司</w:t>
            </w:r>
            <w:r>
              <w:rPr>
                <w:rFonts w:hint="eastAsia"/>
                <w:color w:val="auto"/>
                <w:sz w:val="24"/>
                <w:szCs w:val="24"/>
                <w:lang w:val="en-US" w:eastAsia="zh-CN"/>
              </w:rPr>
              <w:t>石热入济长距离输送供热工程（泰安段）环境影响评价报告表</w:t>
            </w:r>
            <w:r>
              <w:rPr>
                <w:rFonts w:hint="default"/>
                <w:color w:val="auto"/>
                <w:sz w:val="24"/>
                <w:szCs w:val="24"/>
                <w:lang w:val="en-US" w:eastAsia="zh-CN"/>
              </w:rPr>
              <w:t>》</w:t>
            </w:r>
            <w:r>
              <w:rPr>
                <w:rFonts w:hint="eastAsia"/>
                <w:color w:val="auto"/>
                <w:sz w:val="24"/>
                <w:szCs w:val="24"/>
                <w:lang w:val="en-US" w:eastAsia="zh-CN"/>
              </w:rPr>
              <w:t>并报送至泰安市生态环境局，2023年07月19日，泰安市生态环境局对本项目做出批复（泰肥环境审报告表〔2023〕31号，详见附件2）。</w:t>
            </w:r>
          </w:p>
          <w:p>
            <w:pPr>
              <w:spacing w:line="360" w:lineRule="auto"/>
              <w:ind w:firstLine="480" w:firstLineChars="200"/>
              <w:rPr>
                <w:rFonts w:hint="eastAsia" w:ascii="Times New Roman" w:hAnsi="Times New Roman" w:eastAsia="宋体" w:cs="Times New Roman"/>
                <w:color w:val="auto"/>
                <w:kern w:val="2"/>
                <w:sz w:val="24"/>
                <w:szCs w:val="24"/>
                <w:lang w:val="en-US" w:eastAsia="zh-CN" w:bidi="ar-SA"/>
              </w:rPr>
            </w:pPr>
            <w:r>
              <w:rPr>
                <w:rFonts w:hint="eastAsia"/>
                <w:color w:val="auto"/>
                <w:sz w:val="24"/>
                <w:szCs w:val="24"/>
                <w:lang w:val="en-US" w:eastAsia="zh-CN"/>
              </w:rPr>
              <w:t>本项目于2023年07月开工建设，2023年09月30日竣工，10月06日进行试压调试，</w:t>
            </w:r>
            <w:r>
              <w:rPr>
                <w:rFonts w:hint="eastAsia"/>
                <w:color w:val="auto"/>
                <w:sz w:val="24"/>
                <w:szCs w:val="24"/>
                <w:lang w:val="en-US" w:eastAsia="zh-CN"/>
              </w:rPr>
              <w:t>本项目</w:t>
            </w:r>
            <w:r>
              <w:rPr>
                <w:rFonts w:hint="default"/>
                <w:color w:val="auto"/>
                <w:sz w:val="24"/>
                <w:szCs w:val="24"/>
                <w:lang w:val="en-US" w:eastAsia="zh-CN"/>
              </w:rPr>
              <w:t>位于肥城市石横镇，起点位于石横电厂厂区西南侧拟建首站，沿厂区内西侧围墙向北敷设，敷设至</w:t>
            </w:r>
            <w:r>
              <w:rPr>
                <w:rFonts w:hint="default" w:ascii="Times New Roman" w:hAnsi="Times New Roman" w:eastAsia="宋体" w:cs="Times New Roman"/>
                <w:color w:val="auto"/>
                <w:kern w:val="2"/>
                <w:sz w:val="24"/>
                <w:szCs w:val="24"/>
                <w:lang w:val="en-US" w:eastAsia="zh-CN" w:bidi="ar-SA"/>
              </w:rPr>
              <w:t>厂区西北角后出厂区。自石横电厂出线后沿电厂西侧乡村道路接至红石河，架空管过红石河，穿越石横发电厂社区，向北沿赵庄水库东侧、北侧道路敷设，后沿西北方向斜穿农田敷设至平石路；自平石路向北方向沿农田直埋敷设至平阴界。管径2×DN1400，总长度约4.5公里</w:t>
            </w:r>
            <w:r>
              <w:rPr>
                <w:rFonts w:hint="eastAsia" w:ascii="Times New Roman" w:hAnsi="Times New Roman" w:eastAsia="宋体"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含厂区内1.3公里</w:t>
            </w:r>
            <w:r>
              <w:rPr>
                <w:rFonts w:hint="eastAsia" w:ascii="Times New Roman" w:hAnsi="Times New Roman" w:eastAsia="宋体" w:cs="Times New Roman"/>
                <w:color w:val="auto"/>
                <w:kern w:val="2"/>
                <w:sz w:val="24"/>
                <w:szCs w:val="24"/>
                <w:lang w:val="en-US" w:eastAsia="zh-CN" w:bidi="ar-SA"/>
              </w:rPr>
              <w:t>）。</w:t>
            </w:r>
          </w:p>
          <w:p>
            <w:pPr>
              <w:spacing w:line="360" w:lineRule="auto"/>
              <w:ind w:firstLine="480" w:firstLineChars="200"/>
              <w:jc w:val="left"/>
              <w:rPr>
                <w:rFonts w:hint="default" w:cs="Times New Roman"/>
                <w:bCs/>
                <w:color w:val="auto"/>
                <w:kern w:val="6"/>
                <w:sz w:val="24"/>
                <w:lang w:val="en-US" w:eastAsia="zh-CN"/>
              </w:rPr>
            </w:pPr>
            <w:r>
              <w:rPr>
                <w:rFonts w:hint="default" w:ascii="Times New Roman" w:hAnsi="Times New Roman" w:eastAsia="宋体" w:cs="Times New Roman"/>
                <w:color w:val="auto"/>
                <w:kern w:val="2"/>
                <w:sz w:val="24"/>
                <w:szCs w:val="24"/>
                <w:lang w:val="en-GB" w:eastAsia="zh-CN" w:bidi="ar-SA"/>
              </w:rPr>
              <w:t>根据《建设项目环境保护管理条例》（国务院令第682号）和《建设项目竣工环境保护验收暂行办法》</w:t>
            </w:r>
            <w:r>
              <w:rPr>
                <w:rFonts w:hint="default" w:ascii="Times New Roman" w:hAnsi="Times New Roman" w:eastAsia="宋体" w:cs="Times New Roman"/>
                <w:color w:val="auto"/>
                <w:kern w:val="2"/>
                <w:sz w:val="24"/>
                <w:szCs w:val="24"/>
                <w:lang w:val="en-US" w:eastAsia="zh-CN" w:bidi="ar-SA"/>
              </w:rPr>
              <w:t>（国环规环评〔2017〕4号）</w:t>
            </w:r>
            <w:r>
              <w:rPr>
                <w:rFonts w:hint="default" w:ascii="Times New Roman" w:hAnsi="Times New Roman" w:eastAsia="宋体" w:cs="Times New Roman"/>
                <w:color w:val="auto"/>
                <w:kern w:val="2"/>
                <w:sz w:val="24"/>
                <w:szCs w:val="24"/>
                <w:lang w:val="en-GB" w:eastAsia="zh-CN" w:bidi="ar-SA"/>
              </w:rPr>
              <w:t>的规定和要求，20</w:t>
            </w:r>
            <w:r>
              <w:rPr>
                <w:rFonts w:hint="eastAsia" w:ascii="Times New Roman" w:hAnsi="Times New Roman" w:eastAsia="宋体" w:cs="Times New Roman"/>
                <w:color w:val="auto"/>
                <w:kern w:val="2"/>
                <w:sz w:val="24"/>
                <w:szCs w:val="24"/>
                <w:lang w:val="en-US" w:eastAsia="zh-CN" w:bidi="ar-SA"/>
              </w:rPr>
              <w:t>24</w:t>
            </w:r>
            <w:r>
              <w:rPr>
                <w:rFonts w:hint="default" w:ascii="Times New Roman" w:hAnsi="Times New Roman" w:eastAsia="宋体" w:cs="Times New Roman"/>
                <w:color w:val="auto"/>
                <w:kern w:val="2"/>
                <w:sz w:val="24"/>
                <w:szCs w:val="24"/>
                <w:lang w:val="en-GB" w:eastAsia="zh-CN" w:bidi="ar-SA"/>
              </w:rPr>
              <w:t>年</w:t>
            </w:r>
            <w:r>
              <w:rPr>
                <w:rFonts w:hint="eastAsia" w:ascii="Times New Roman" w:hAnsi="Times New Roman" w:eastAsia="宋体" w:cs="Times New Roman"/>
                <w:color w:val="auto"/>
                <w:kern w:val="2"/>
                <w:sz w:val="24"/>
                <w:szCs w:val="24"/>
                <w:lang w:val="en-US" w:eastAsia="zh-CN" w:bidi="ar-SA"/>
              </w:rPr>
              <w:t>11月</w:t>
            </w:r>
            <w:r>
              <w:rPr>
                <w:rFonts w:hint="default" w:ascii="Times New Roman" w:hAnsi="Times New Roman" w:eastAsia="宋体" w:cs="Times New Roman"/>
                <w:color w:val="auto"/>
                <w:kern w:val="2"/>
                <w:sz w:val="24"/>
                <w:szCs w:val="24"/>
                <w:lang w:val="en-GB" w:eastAsia="zh-CN" w:bidi="ar-SA"/>
              </w:rPr>
              <w:t>，</w:t>
            </w:r>
            <w:r>
              <w:rPr>
                <w:rFonts w:hint="eastAsia" w:ascii="Times New Roman" w:hAnsi="Times New Roman" w:eastAsia="宋体" w:cs="Times New Roman"/>
                <w:color w:val="auto"/>
                <w:kern w:val="2"/>
                <w:sz w:val="24"/>
                <w:szCs w:val="24"/>
                <w:lang w:val="en-US" w:eastAsia="zh-CN" w:bidi="ar-SA"/>
              </w:rPr>
              <w:t>济南热力集团</w:t>
            </w:r>
            <w:r>
              <w:rPr>
                <w:rFonts w:hint="default" w:ascii="Times New Roman" w:hAnsi="Times New Roman" w:eastAsia="宋体" w:cs="Times New Roman"/>
                <w:color w:val="auto"/>
                <w:kern w:val="2"/>
                <w:sz w:val="24"/>
                <w:szCs w:val="24"/>
                <w:lang w:val="en-US" w:eastAsia="zh-CN" w:bidi="ar-SA"/>
              </w:rPr>
              <w:t>有限公司</w:t>
            </w:r>
            <w:r>
              <w:rPr>
                <w:rFonts w:hint="eastAsia" w:cs="Times New Roman"/>
                <w:bCs/>
                <w:color w:val="auto"/>
                <w:kern w:val="6"/>
                <w:sz w:val="24"/>
                <w:lang w:val="en-US" w:eastAsia="zh-CN"/>
              </w:rPr>
              <w:t>委托</w:t>
            </w:r>
            <w:r>
              <w:rPr>
                <w:rFonts w:hint="eastAsia" w:ascii="Times New Roman" w:hAnsi="Times New Roman" w:cs="Times New Roman"/>
                <w:color w:val="auto"/>
                <w:kern w:val="2"/>
                <w:sz w:val="24"/>
                <w:szCs w:val="24"/>
                <w:lang w:val="en-US" w:eastAsia="zh-CN" w:bidi="ar-SA"/>
              </w:rPr>
              <w:t>山东蓝昕环保测试分析有限公司</w:t>
            </w:r>
            <w:r>
              <w:rPr>
                <w:rFonts w:hint="default" w:ascii="Times New Roman" w:hAnsi="Times New Roman" w:cs="Times New Roman"/>
                <w:bCs/>
                <w:color w:val="auto"/>
                <w:kern w:val="6"/>
                <w:sz w:val="24"/>
                <w:lang w:val="en-US" w:eastAsia="zh-CN"/>
              </w:rPr>
              <w:t>承担</w:t>
            </w:r>
            <w:r>
              <w:rPr>
                <w:rFonts w:hint="eastAsia" w:cs="Times New Roman"/>
                <w:bCs/>
                <w:color w:val="auto"/>
                <w:kern w:val="6"/>
                <w:sz w:val="24"/>
                <w:lang w:val="en-US" w:eastAsia="zh-CN"/>
              </w:rPr>
              <w:t>本项目</w:t>
            </w:r>
            <w:r>
              <w:rPr>
                <w:rFonts w:hint="default" w:ascii="Times New Roman" w:hAnsi="Times New Roman" w:cs="Times New Roman"/>
                <w:bCs/>
                <w:color w:val="auto"/>
                <w:kern w:val="6"/>
                <w:sz w:val="24"/>
                <w:lang w:val="en-US" w:eastAsia="zh-CN"/>
              </w:rPr>
              <w:t>竣工环境保护验收调查报告的编制工作。</w:t>
            </w:r>
            <w:r>
              <w:rPr>
                <w:rFonts w:hint="eastAsia" w:cs="Times New Roman"/>
                <w:bCs/>
                <w:color w:val="auto"/>
                <w:kern w:val="6"/>
                <w:sz w:val="24"/>
                <w:lang w:val="en-US" w:eastAsia="zh-CN"/>
              </w:rPr>
              <w:t>接收委托后，编制单位组织技术人员对工程设计、环评文件及批复等资料进行了认真研读，并于2024年11月19日-11月21日赴现场进行了实地踏勘，在调查了解项目周边自然环境状况，项目运行及生态影响及恢复措施的基础上，按照环境保护法律、法规和有关规范规定，编制完成了</w:t>
            </w:r>
            <w:r>
              <w:rPr>
                <w:rFonts w:hint="default" w:cs="Times New Roman"/>
                <w:bCs/>
                <w:color w:val="auto"/>
                <w:kern w:val="6"/>
                <w:sz w:val="24"/>
                <w:lang w:val="en-US" w:eastAsia="zh-CN"/>
              </w:rPr>
              <w:t>《</w:t>
            </w:r>
            <w:r>
              <w:rPr>
                <w:rFonts w:hint="eastAsia" w:cs="Times New Roman"/>
                <w:bCs/>
                <w:color w:val="auto"/>
                <w:kern w:val="6"/>
                <w:sz w:val="24"/>
                <w:lang w:val="en-US" w:eastAsia="zh-CN"/>
              </w:rPr>
              <w:t>济南热力有限公司</w:t>
            </w:r>
            <w:r>
              <w:rPr>
                <w:rFonts w:hint="default" w:cs="Times New Roman"/>
                <w:bCs/>
                <w:color w:val="auto"/>
                <w:kern w:val="6"/>
                <w:sz w:val="24"/>
                <w:lang w:val="en-US" w:eastAsia="zh-CN"/>
              </w:rPr>
              <w:t>石热入济长距离输送供热工程（泰安段）竣工环境保护验收调查</w:t>
            </w:r>
            <w:r>
              <w:rPr>
                <w:rFonts w:hint="eastAsia" w:cs="Times New Roman"/>
                <w:bCs/>
                <w:color w:val="auto"/>
                <w:kern w:val="6"/>
                <w:sz w:val="24"/>
                <w:lang w:val="en-US" w:eastAsia="zh-CN"/>
              </w:rPr>
              <w:t>表</w:t>
            </w:r>
            <w:r>
              <w:rPr>
                <w:rFonts w:hint="default" w:cs="Times New Roman"/>
                <w:bCs/>
                <w:color w:val="auto"/>
                <w:kern w:val="6"/>
                <w:sz w:val="24"/>
                <w:lang w:val="en-US" w:eastAsia="zh-CN"/>
              </w:rPr>
              <w:t>》。</w:t>
            </w:r>
          </w:p>
          <w:p>
            <w:pPr>
              <w:spacing w:line="360" w:lineRule="auto"/>
              <w:ind w:firstLine="480" w:firstLineChars="200"/>
              <w:jc w:val="left"/>
              <w:rPr>
                <w:rFonts w:hint="default"/>
                <w:color w:val="auto"/>
                <w:lang w:val="en-US" w:eastAsia="zh-CN"/>
              </w:rPr>
            </w:pPr>
            <w:r>
              <w:rPr>
                <w:rFonts w:hint="default" w:ascii="Times New Roman" w:hAnsi="Times New Roman" w:eastAsia="宋体" w:cs="Times New Roman"/>
                <w:color w:val="auto"/>
                <w:sz w:val="24"/>
                <w:szCs w:val="24"/>
                <w:lang w:val="en-US" w:eastAsia="zh-CN"/>
              </w:rPr>
              <w:t>本次验收范围为</w:t>
            </w:r>
            <w:r>
              <w:rPr>
                <w:rFonts w:hint="eastAsia"/>
                <w:color w:val="auto"/>
                <w:sz w:val="24"/>
                <w:szCs w:val="24"/>
                <w:lang w:val="en-US" w:eastAsia="zh-CN"/>
              </w:rPr>
              <w:t>石热入济长距离输送供热工程（泰安段）</w:t>
            </w:r>
            <w:r>
              <w:rPr>
                <w:rFonts w:hint="default" w:ascii="Times New Roman" w:hAnsi="Times New Roman" w:eastAsia="宋体" w:cs="Times New Roman"/>
                <w:color w:val="auto"/>
                <w:sz w:val="24"/>
                <w:szCs w:val="24"/>
                <w:lang w:val="en-US" w:eastAsia="zh-CN"/>
              </w:rPr>
              <w:t>全部建设内容。</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（二）项目变更情况</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经现场勘察，本项目实际建设内容与环评及批复内容一致。不存在《关于印发环评管理中部分行业建设项目重大变动清单的通知》（环办〔2015〕52号）中所列内容。</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（三）环境保护措施落实情况调查</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color w:val="auto"/>
                <w:sz w:val="24"/>
                <w:szCs w:val="24"/>
                <w:lang w:val="en-US" w:eastAsia="zh-CN"/>
              </w:rPr>
              <w:t>本项目于2023年07月开工建设，2023年09月30日竣工，10月06日进行试压调试</w:t>
            </w:r>
            <w:r>
              <w:rPr>
                <w:rFonts w:hint="eastAsia" w:ascii="Times New Roman" w:hAnsi="Times New Roman" w:eastAsia="宋体" w:cs="Times New Roman"/>
                <w:color w:val="auto"/>
                <w:sz w:val="24"/>
                <w:szCs w:val="24"/>
                <w:lang w:val="en-US" w:eastAsia="zh-CN"/>
              </w:rPr>
              <w:t>，</w:t>
            </w:r>
            <w:r>
              <w:rPr>
                <w:rFonts w:hint="eastAsia" w:ascii="Times New Roman" w:hAnsi="Times New Roman" w:eastAsia="宋体" w:cs="Times New Roman"/>
                <w:color w:val="auto"/>
                <w:sz w:val="24"/>
                <w:szCs w:val="24"/>
                <w:lang w:val="en-US" w:eastAsia="zh-CN"/>
              </w:rPr>
              <w:t>在建设前期在环境影响报告表和设计方案均提出了较为全面、详细的环境保护措施，本项目目前已建设完成，经过调查了解，施工期间本项目严格按照相关环保要求对污染防治和生态保护措施进行了落实，针对废水、扬尘、固废、噪声的治理措施到位，未因环境问题收到举报或投诉，未产生遗留生态环境问题。</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（四）环境影响调查分析结论</w:t>
            </w:r>
          </w:p>
          <w:p>
            <w:pPr>
              <w:spacing w:line="360" w:lineRule="auto"/>
              <w:ind w:firstLine="480" w:firstLineChars="200"/>
              <w:jc w:val="left"/>
              <w:rPr>
                <w:rFonts w:hint="default"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1、废气</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eastAsia="zh-CN"/>
              </w:rPr>
            </w:pPr>
            <w:r>
              <w:rPr>
                <w:rFonts w:hint="eastAsia" w:ascii="Times New Roman" w:hAnsi="Times New Roman" w:eastAsia="宋体" w:cs="Times New Roman"/>
                <w:color w:val="auto"/>
                <w:sz w:val="24"/>
                <w:highlight w:val="none"/>
                <w:lang w:eastAsia="zh-CN"/>
              </w:rPr>
              <w:t>本项目施工期废气主要是扬尘（</w:t>
            </w:r>
            <w:r>
              <w:rPr>
                <w:rFonts w:hint="eastAsia" w:ascii="Times New Roman" w:hAnsi="Times New Roman" w:eastAsia="宋体" w:cs="Times New Roman"/>
                <w:color w:val="auto"/>
                <w:sz w:val="24"/>
                <w:highlight w:val="none"/>
                <w:lang w:val="en-US" w:eastAsia="zh-CN"/>
              </w:rPr>
              <w:t>TSP</w:t>
            </w:r>
            <w:r>
              <w:rPr>
                <w:rFonts w:hint="eastAsia" w:ascii="Times New Roman" w:hAnsi="Times New Roman" w:eastAsia="宋体" w:cs="Times New Roman"/>
                <w:color w:val="auto"/>
                <w:sz w:val="24"/>
                <w:highlight w:val="none"/>
                <w:lang w:eastAsia="zh-CN"/>
              </w:rPr>
              <w:t>）和燃油废气，主要污染因子为CO、NOx和THC等，扬尘主要来源于土方挖掘填埋作业、物料运输车辆作业等，燃油废气主要来源于运输车辆及工程动力设备运转产生。按照</w:t>
            </w:r>
            <w:r>
              <w:rPr>
                <w:rFonts w:hint="eastAsia" w:cs="Times New Roman"/>
                <w:color w:val="auto"/>
                <w:sz w:val="24"/>
                <w:highlight w:val="none"/>
                <w:lang w:eastAsia="zh-CN"/>
              </w:rPr>
              <w:t>要求，本项目在</w:t>
            </w:r>
            <w:r>
              <w:rPr>
                <w:rFonts w:hint="eastAsia" w:ascii="Times New Roman" w:hAnsi="Times New Roman" w:eastAsia="宋体" w:cs="Times New Roman"/>
                <w:color w:val="auto"/>
                <w:sz w:val="24"/>
                <w:highlight w:val="none"/>
                <w:lang w:eastAsia="zh-CN"/>
              </w:rPr>
              <w:t>施工过程中</w:t>
            </w:r>
            <w:r>
              <w:rPr>
                <w:rFonts w:hint="default" w:ascii="Times New Roman" w:hAnsi="Times New Roman" w:eastAsia="宋体" w:cs="Times New Roman"/>
                <w:color w:val="auto"/>
                <w:sz w:val="24"/>
                <w:highlight w:val="none"/>
                <w:lang w:eastAsia="zh-CN"/>
              </w:rPr>
              <w:t>配备并规范使用</w:t>
            </w:r>
            <w:r>
              <w:rPr>
                <w:rFonts w:hint="eastAsia" w:cs="Times New Roman"/>
                <w:color w:val="auto"/>
                <w:sz w:val="24"/>
                <w:highlight w:val="none"/>
                <w:lang w:eastAsia="zh-CN"/>
              </w:rPr>
              <w:t>移动焊烟净化器，并</w:t>
            </w:r>
            <w:r>
              <w:rPr>
                <w:rFonts w:hint="eastAsia" w:ascii="Times New Roman" w:hAnsi="Times New Roman" w:eastAsia="宋体" w:cs="Times New Roman"/>
                <w:color w:val="auto"/>
                <w:sz w:val="24"/>
                <w:highlight w:val="none"/>
                <w:lang w:eastAsia="zh-CN"/>
              </w:rPr>
              <w:t>通过</w:t>
            </w:r>
            <w:r>
              <w:rPr>
                <w:rFonts w:hint="eastAsia" w:cs="Times New Roman"/>
                <w:color w:val="auto"/>
                <w:sz w:val="24"/>
                <w:highlight w:val="none"/>
                <w:lang w:eastAsia="zh-CN"/>
              </w:rPr>
              <w:t>设置洗车平台、</w:t>
            </w:r>
            <w:r>
              <w:rPr>
                <w:rFonts w:hint="eastAsia" w:ascii="Times New Roman" w:hAnsi="Times New Roman" w:eastAsia="宋体" w:cs="Times New Roman"/>
                <w:color w:val="auto"/>
                <w:sz w:val="24"/>
                <w:highlight w:val="none"/>
                <w:lang w:eastAsia="zh-CN"/>
              </w:rPr>
              <w:t>采取洒水降尘、</w:t>
            </w:r>
            <w:r>
              <w:rPr>
                <w:rFonts w:hint="eastAsia" w:cs="Times New Roman"/>
                <w:color w:val="auto"/>
                <w:sz w:val="24"/>
                <w:highlight w:val="none"/>
                <w:lang w:eastAsia="zh-CN"/>
              </w:rPr>
              <w:t>车辆</w:t>
            </w:r>
            <w:r>
              <w:rPr>
                <w:rFonts w:hint="eastAsia" w:ascii="Times New Roman" w:hAnsi="Times New Roman" w:eastAsia="宋体" w:cs="Times New Roman"/>
                <w:color w:val="auto"/>
                <w:sz w:val="24"/>
                <w:highlight w:val="none"/>
                <w:lang w:eastAsia="zh-CN"/>
              </w:rPr>
              <w:t>篷布遮盖、加水防护等措施</w:t>
            </w:r>
            <w:r>
              <w:rPr>
                <w:rFonts w:hint="eastAsia" w:cs="Times New Roman"/>
                <w:color w:val="auto"/>
                <w:sz w:val="24"/>
                <w:highlight w:val="none"/>
                <w:lang w:eastAsia="zh-CN"/>
              </w:rPr>
              <w:t>；管理方面，通过</w:t>
            </w:r>
            <w:r>
              <w:rPr>
                <w:rFonts w:hint="eastAsia" w:ascii="Times New Roman" w:hAnsi="Times New Roman" w:eastAsia="宋体" w:cs="Times New Roman"/>
                <w:color w:val="auto"/>
                <w:sz w:val="24"/>
                <w:highlight w:val="none"/>
                <w:lang w:eastAsia="zh-CN"/>
              </w:rPr>
              <w:t>加强施工计划、管理等手段等减轻对周围环境的影响</w:t>
            </w:r>
            <w:r>
              <w:rPr>
                <w:rFonts w:hint="default" w:ascii="Times New Roman" w:hAnsi="Times New Roman" w:eastAsia="宋体" w:cs="Times New Roman"/>
                <w:color w:val="auto"/>
                <w:sz w:val="24"/>
                <w:highlight w:val="none"/>
                <w:lang w:eastAsia="zh-CN"/>
              </w:rPr>
              <w:t>。</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2、废水</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本项目施工期废水主要为生活污水及少量施工废水，主要污染因子为</w:t>
            </w:r>
            <w:r>
              <w:rPr>
                <w:rFonts w:hint="default" w:ascii="Times New Roman" w:hAnsi="Times New Roman" w:eastAsia="宋体" w:cs="Times New Roman"/>
                <w:color w:val="auto"/>
                <w:sz w:val="24"/>
                <w:highlight w:val="none"/>
                <w:lang w:val="en-US" w:eastAsia="zh-CN"/>
              </w:rPr>
              <w:t>COD</w:t>
            </w:r>
            <w:r>
              <w:rPr>
                <w:rFonts w:hint="eastAsia" w:ascii="Times New Roman" w:hAnsi="Times New Roman" w:eastAsia="宋体" w:cs="Times New Roman"/>
                <w:color w:val="auto"/>
                <w:sz w:val="24"/>
                <w:highlight w:val="none"/>
                <w:lang w:val="en-US" w:eastAsia="zh-CN"/>
              </w:rPr>
              <w:t>、SS、氨氮。主要来源于施工人员办公和运输车辆清洗及雨水冲刷场地产生，生活污水</w:t>
            </w:r>
            <w:r>
              <w:rPr>
                <w:rFonts w:hint="default" w:ascii="Times New Roman" w:hAnsi="Times New Roman" w:eastAsia="宋体" w:cs="Times New Roman"/>
                <w:color w:val="auto"/>
                <w:sz w:val="24"/>
                <w:highlight w:val="none"/>
                <w:lang w:val="en-US" w:eastAsia="zh-CN"/>
              </w:rPr>
              <w:t>采取移动式生态厕所收集后直接外运</w:t>
            </w:r>
            <w:r>
              <w:rPr>
                <w:rFonts w:hint="eastAsia" w:ascii="Times New Roman" w:hAnsi="Times New Roman" w:eastAsia="宋体" w:cs="Times New Roman"/>
                <w:color w:val="auto"/>
                <w:sz w:val="24"/>
                <w:highlight w:val="none"/>
                <w:lang w:val="en-US" w:eastAsia="zh-CN"/>
              </w:rPr>
              <w:t>。</w:t>
            </w:r>
            <w:r>
              <w:rPr>
                <w:rFonts w:hint="eastAsia" w:cs="Times New Roman"/>
                <w:color w:val="auto"/>
                <w:sz w:val="24"/>
                <w:highlight w:val="none"/>
                <w:lang w:val="en-US" w:eastAsia="zh-CN"/>
              </w:rPr>
              <w:t>此外，</w:t>
            </w:r>
            <w:r>
              <w:rPr>
                <w:rFonts w:hint="eastAsia" w:ascii="Times New Roman" w:hAnsi="Times New Roman" w:eastAsia="宋体" w:cs="Times New Roman"/>
                <w:color w:val="auto"/>
                <w:sz w:val="24"/>
                <w:highlight w:val="none"/>
                <w:lang w:val="en-US" w:eastAsia="zh-CN"/>
              </w:rPr>
              <w:t>施工期会产生少量试压废水，该水为处理后的软化水，</w:t>
            </w:r>
            <w:r>
              <w:rPr>
                <w:rFonts w:hint="eastAsia" w:cs="Times New Roman"/>
                <w:color w:val="auto"/>
                <w:sz w:val="24"/>
                <w:highlight w:val="none"/>
                <w:lang w:val="en-US" w:eastAsia="zh-CN"/>
              </w:rPr>
              <w:t>试压结束后排入市政管网。</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3、噪声</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rPr>
            </w:pPr>
            <w:r>
              <w:rPr>
                <w:rFonts w:hint="eastAsia" w:ascii="Times New Roman" w:hAnsi="Times New Roman" w:eastAsia="宋体" w:cs="Times New Roman"/>
                <w:color w:val="auto"/>
                <w:sz w:val="24"/>
                <w:highlight w:val="none"/>
                <w:lang w:val="en-US" w:eastAsia="zh-CN"/>
              </w:rPr>
              <w:t>本项目施工噪声主要为</w:t>
            </w:r>
            <w:r>
              <w:rPr>
                <w:rFonts w:hint="eastAsia" w:ascii="Times New Roman" w:hAnsi="Times New Roman" w:eastAsia="宋体" w:cs="Times New Roman"/>
                <w:color w:val="auto"/>
                <w:sz w:val="24"/>
                <w:highlight w:val="none"/>
              </w:rPr>
              <w:t>运输土石方及其它建筑材料的载重汽车行驶所产生的噪声</w:t>
            </w:r>
            <w:r>
              <w:rPr>
                <w:rFonts w:hint="eastAsia" w:ascii="Times New Roman" w:hAnsi="Times New Roman" w:eastAsia="宋体" w:cs="Times New Roman"/>
                <w:color w:val="auto"/>
                <w:sz w:val="24"/>
                <w:highlight w:val="none"/>
                <w:lang w:val="en-US" w:eastAsia="zh-CN"/>
              </w:rPr>
              <w:t>，主要来源于</w:t>
            </w:r>
            <w:r>
              <w:rPr>
                <w:rFonts w:hint="eastAsia" w:cs="Times New Roman"/>
                <w:color w:val="auto"/>
                <w:sz w:val="24"/>
                <w:highlight w:val="none"/>
                <w:lang w:val="en-US" w:eastAsia="zh-CN"/>
              </w:rPr>
              <w:t>施工作业机械，如挖掘机、定向牵引钻机、汽车吊和电焊机等设备运转</w:t>
            </w:r>
            <w:r>
              <w:rPr>
                <w:rFonts w:hint="eastAsia" w:ascii="Times New Roman" w:hAnsi="Times New Roman" w:eastAsia="宋体" w:cs="Times New Roman"/>
                <w:color w:val="auto"/>
                <w:sz w:val="24"/>
                <w:highlight w:val="none"/>
                <w:lang w:val="en-US" w:eastAsia="zh-CN"/>
              </w:rPr>
              <w:t>，通过调整施工时间、设置移动式隔声屏障等措施</w:t>
            </w:r>
            <w:r>
              <w:rPr>
                <w:rFonts w:hint="eastAsia" w:ascii="Times New Roman" w:hAnsi="Times New Roman" w:eastAsia="宋体" w:cs="Times New Roman"/>
                <w:color w:val="auto"/>
                <w:sz w:val="24"/>
                <w:highlight w:val="none"/>
                <w:lang w:eastAsia="zh-CN"/>
              </w:rPr>
              <w:t>减轻对周围环境的影响。</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4、固体废物</w:t>
            </w:r>
          </w:p>
          <w:p>
            <w:pPr>
              <w:keepNext w:val="0"/>
              <w:keepLines w:val="0"/>
              <w:suppressLineNumbers w:val="0"/>
              <w:adjustRightInd w:val="0"/>
              <w:spacing w:before="0" w:beforeAutospacing="0" w:after="0" w:afterAutospacing="0" w:line="360" w:lineRule="auto"/>
              <w:ind w:left="0" w:right="0"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w:t>
            </w:r>
            <w:r>
              <w:rPr>
                <w:rFonts w:hint="default" w:ascii="Times New Roman" w:hAnsi="Times New Roman" w:eastAsia="宋体" w:cs="Times New Roman"/>
                <w:color w:val="auto"/>
                <w:sz w:val="24"/>
                <w:highlight w:val="none"/>
                <w:lang w:val="en-US" w:eastAsia="zh-CN"/>
              </w:rPr>
              <w:t>施工期产生的固体废物主要是</w:t>
            </w:r>
            <w:r>
              <w:rPr>
                <w:rFonts w:hint="eastAsia" w:cs="Times New Roman"/>
                <w:color w:val="auto"/>
                <w:sz w:val="24"/>
                <w:highlight w:val="none"/>
                <w:lang w:val="en-US" w:eastAsia="zh-CN"/>
              </w:rPr>
              <w:t>废弃土石方、施工废料和</w:t>
            </w:r>
            <w:r>
              <w:rPr>
                <w:rFonts w:hint="default" w:ascii="Times New Roman" w:hAnsi="Times New Roman" w:eastAsia="宋体" w:cs="Times New Roman"/>
                <w:color w:val="auto"/>
                <w:sz w:val="24"/>
                <w:highlight w:val="none"/>
                <w:lang w:val="en-US" w:eastAsia="zh-CN"/>
              </w:rPr>
              <w:t>生活垃圾。</w:t>
            </w:r>
            <w:r>
              <w:rPr>
                <w:rFonts w:hint="eastAsia" w:ascii="Times New Roman" w:hAnsi="Times New Roman" w:eastAsia="宋体" w:cs="Times New Roman"/>
                <w:color w:val="auto"/>
                <w:sz w:val="24"/>
                <w:highlight w:val="none"/>
                <w:lang w:val="en-US" w:eastAsia="zh-CN"/>
              </w:rPr>
              <w:t>主要来源于施工人员办公及施工过程产生的废弃建材、沥青废渣、包装材料、废抑尘网、沉淀泥浆等，经统一收集后</w:t>
            </w:r>
            <w:r>
              <w:rPr>
                <w:rFonts w:hint="eastAsia" w:cs="Times New Roman"/>
                <w:color w:val="auto"/>
                <w:sz w:val="24"/>
                <w:highlight w:val="none"/>
                <w:lang w:val="en-US" w:eastAsia="zh-CN"/>
              </w:rPr>
              <w:t>外售废旧物资回收部门进行综合利用，生活垃圾</w:t>
            </w:r>
            <w:r>
              <w:rPr>
                <w:rFonts w:hint="eastAsia" w:ascii="Times New Roman" w:hAnsi="Times New Roman" w:eastAsia="宋体" w:cs="Times New Roman"/>
                <w:color w:val="auto"/>
                <w:sz w:val="24"/>
                <w:highlight w:val="none"/>
                <w:lang w:val="en-US" w:eastAsia="zh-CN"/>
              </w:rPr>
              <w:t>由环卫部门统一清运处理。</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5、生态影响</w:t>
            </w:r>
          </w:p>
          <w:p>
            <w:pPr>
              <w:keepNext w:val="0"/>
              <w:keepLines w:val="0"/>
              <w:suppressLineNumbers w:val="0"/>
              <w:adjustRightInd w:val="0"/>
              <w:spacing w:before="0" w:beforeAutospacing="0" w:after="0" w:afterAutospacing="0" w:line="360" w:lineRule="auto"/>
              <w:ind w:left="0" w:right="0" w:firstLine="480" w:firstLineChars="200"/>
              <w:rPr>
                <w:rFonts w:hint="default"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本项目施工期临时占用</w:t>
            </w:r>
            <w:r>
              <w:rPr>
                <w:rFonts w:hint="eastAsia" w:cs="Times New Roman"/>
                <w:color w:val="auto"/>
                <w:sz w:val="24"/>
                <w:highlight w:val="none"/>
                <w:lang w:val="en-US" w:eastAsia="zh-CN"/>
              </w:rPr>
              <w:t>管道</w:t>
            </w:r>
            <w:r>
              <w:rPr>
                <w:rFonts w:hint="eastAsia" w:ascii="Times New Roman" w:hAnsi="Times New Roman" w:eastAsia="宋体" w:cs="Times New Roman"/>
                <w:color w:val="auto"/>
                <w:sz w:val="24"/>
                <w:highlight w:val="none"/>
                <w:lang w:val="en-US" w:eastAsia="zh-CN"/>
              </w:rPr>
              <w:t>沿线林地、草地及部分道路用地，对生态影响主要表现在</w:t>
            </w:r>
            <w:r>
              <w:rPr>
                <w:rFonts w:hint="default" w:ascii="Times New Roman" w:hAnsi="Times New Roman" w:eastAsia="宋体" w:cs="Times New Roman"/>
                <w:color w:val="auto"/>
                <w:sz w:val="24"/>
                <w:highlight w:val="none"/>
                <w:lang w:val="en-US" w:eastAsia="zh-CN"/>
              </w:rPr>
              <w:t>土地利用方式、生物、水土流失、景观生态等方面。</w:t>
            </w:r>
            <w:r>
              <w:rPr>
                <w:rFonts w:hint="eastAsia" w:ascii="Times New Roman" w:hAnsi="Times New Roman" w:eastAsia="宋体" w:cs="Times New Roman"/>
                <w:color w:val="auto"/>
                <w:sz w:val="24"/>
                <w:highlight w:val="none"/>
                <w:lang w:val="en-US" w:eastAsia="zh-CN"/>
              </w:rPr>
              <w:t>机械化施工会对场地土壤或地表植被造成影响，从而造成占地区域内水土保持功能降低或丧失，由于植被的破坏，对占地区景观环境影响也较大。此外，也对动物的活动区域、觅食范围等造成了阻隔影响，生物多样性也随之降低，导致占地区域的生态平衡遭到破坏。由于</w:t>
            </w:r>
            <w:r>
              <w:rPr>
                <w:rFonts w:hint="eastAsia" w:cs="Times New Roman"/>
                <w:color w:val="auto"/>
                <w:sz w:val="24"/>
                <w:highlight w:val="none"/>
                <w:lang w:val="en-US" w:eastAsia="zh-CN"/>
              </w:rPr>
              <w:t>本项目为</w:t>
            </w:r>
            <w:r>
              <w:rPr>
                <w:rFonts w:hint="eastAsia" w:ascii="Times New Roman" w:hAnsi="Times New Roman" w:eastAsia="宋体" w:cs="Times New Roman"/>
                <w:color w:val="auto"/>
                <w:sz w:val="24"/>
                <w:highlight w:val="none"/>
                <w:lang w:val="en-US" w:eastAsia="zh-CN"/>
              </w:rPr>
              <w:t>供热管线建设，施工过程中造成的影响是暂时的，在土方回填压实后，因施工破坏而影响水土流失的各种因素在各项水土保持措施后逐渐消失，并且随着时间的推移，各项措施的水土保持功能得到发挥，生态环境得到恢复和改善，水土流失量逐渐减少，直至达到新的稳定状态。</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（五）营运期环境影响分析</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本项目主要建设内容为热水管线铺设是市政供公用工程，根据建设内容及环评文件和批复要求，本项目属于非污染生态影响型项目，在运营期，本身不产生废水、废气、噪声、固体废物等污染物，本次验收主要对项目周边生态恢复情况进行调查。</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（六）验收调查结论</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eastAsia" w:ascii="Times New Roman" w:hAnsi="Times New Roman" w:eastAsia="宋体" w:cs="Times New Roman"/>
                <w:color w:val="auto"/>
                <w:sz w:val="24"/>
                <w:szCs w:val="24"/>
                <w:lang w:val="en-US" w:eastAsia="zh-CN"/>
              </w:rPr>
              <w:t>济南热力有限公司济南热力集团有限公司</w:t>
            </w:r>
            <w:r>
              <w:rPr>
                <w:rFonts w:hint="eastAsia" w:ascii="宋体" w:hAnsi="宋体" w:cs="宋体"/>
                <w:color w:val="auto"/>
                <w:sz w:val="24"/>
                <w:szCs w:val="24"/>
                <w:lang w:val="en-US" w:eastAsia="zh-CN"/>
              </w:rPr>
              <w:t>石热入济长距离输送供热工程（泰安段）</w:t>
            </w:r>
            <w:r>
              <w:rPr>
                <w:rFonts w:hint="eastAsia" w:ascii="Times New Roman" w:hAnsi="Times New Roman" w:eastAsia="宋体" w:cs="Times New Roman"/>
                <w:color w:val="auto"/>
                <w:sz w:val="24"/>
                <w:szCs w:val="24"/>
                <w:lang w:val="en-US" w:eastAsia="zh-CN"/>
              </w:rPr>
              <w:t>项目属于市政公共工程，在实际建设中，建设内容与环境影响评价报告表及批复文件基本一致，环保手续齐全，调查表明，本项目在施工过程中针对废水、废气、固废、噪声采取了相应的污染防治措施，并对各项水土保持措施进行了落实，各项环保措施基本落实了环评及批复文件中的要求，</w:t>
            </w:r>
            <w:r>
              <w:rPr>
                <w:rFonts w:hint="eastAsia" w:cs="Times New Roman"/>
                <w:color w:val="auto"/>
                <w:sz w:val="24"/>
                <w:szCs w:val="24"/>
                <w:lang w:val="en-US" w:eastAsia="zh-CN"/>
              </w:rPr>
              <w:t>公司</w:t>
            </w:r>
            <w:r>
              <w:rPr>
                <w:rFonts w:hint="eastAsia" w:ascii="Times New Roman" w:hAnsi="Times New Roman" w:eastAsia="宋体" w:cs="Times New Roman"/>
                <w:color w:val="auto"/>
                <w:sz w:val="24"/>
                <w:szCs w:val="24"/>
                <w:lang w:val="en-US" w:eastAsia="zh-CN"/>
              </w:rPr>
              <w:t>建立了相应的环保管理制度，设有专职人员负责生态环境保护工作的推进和落实。</w:t>
            </w:r>
            <w:r>
              <w:rPr>
                <w:rFonts w:hint="eastAsia" w:cs="Times New Roman"/>
                <w:color w:val="auto"/>
                <w:sz w:val="24"/>
                <w:szCs w:val="24"/>
                <w:lang w:val="en-US" w:eastAsia="zh-CN"/>
              </w:rPr>
              <w:t>本项目在</w:t>
            </w:r>
            <w:r>
              <w:rPr>
                <w:rFonts w:hint="eastAsia" w:ascii="Times New Roman" w:hAnsi="Times New Roman" w:eastAsia="宋体" w:cs="Times New Roman"/>
                <w:color w:val="auto"/>
                <w:sz w:val="24"/>
                <w:szCs w:val="24"/>
                <w:lang w:val="en-US" w:eastAsia="zh-CN"/>
              </w:rPr>
              <w:t>建设运行对周围生态环境影响较小，符合建设项目竣工环境保护验收条件。</w:t>
            </w:r>
          </w:p>
          <w:p>
            <w:pPr>
              <w:spacing w:line="360" w:lineRule="auto"/>
              <w:ind w:firstLine="482" w:firstLineChars="200"/>
              <w:jc w:val="left"/>
              <w:rPr>
                <w:rFonts w:hint="eastAsia" w:ascii="Times New Roman" w:hAnsi="Times New Roman" w:eastAsia="宋体" w:cs="Times New Roman"/>
                <w:b/>
                <w:bCs/>
                <w:color w:val="auto"/>
                <w:sz w:val="24"/>
                <w:szCs w:val="24"/>
                <w:lang w:val="en-US" w:eastAsia="zh-CN"/>
              </w:rPr>
            </w:pPr>
            <w:r>
              <w:rPr>
                <w:rFonts w:hint="eastAsia" w:ascii="Times New Roman" w:hAnsi="Times New Roman" w:eastAsia="宋体" w:cs="Times New Roman"/>
                <w:b/>
                <w:bCs/>
                <w:color w:val="auto"/>
                <w:sz w:val="24"/>
                <w:szCs w:val="24"/>
                <w:lang w:val="en-US" w:eastAsia="zh-CN"/>
              </w:rPr>
              <w:t>（七）建议：</w:t>
            </w:r>
          </w:p>
          <w:p>
            <w:pPr>
              <w:spacing w:line="360" w:lineRule="auto"/>
              <w:ind w:firstLine="480" w:firstLineChars="200"/>
              <w:jc w:val="left"/>
              <w:rPr>
                <w:rFonts w:hint="eastAsia" w:ascii="Times New Roman" w:hAnsi="Times New Roman" w:eastAsia="宋体" w:cs="Times New Roman"/>
                <w:color w:val="auto"/>
                <w:sz w:val="24"/>
                <w:szCs w:val="24"/>
                <w:lang w:val="en-US" w:eastAsia="zh-CN"/>
              </w:rPr>
            </w:pPr>
            <w:r>
              <w:rPr>
                <w:rFonts w:hint="default" w:ascii="Times New Roman" w:hAnsi="Times New Roman" w:eastAsia="宋体" w:cs="Times New Roman"/>
                <w:color w:val="auto"/>
                <w:sz w:val="24"/>
                <w:szCs w:val="24"/>
                <w:lang w:val="en-US" w:eastAsia="zh-CN"/>
              </w:rPr>
              <w:t>1、加强档案管理，相关技术资料与环保档案等实行集中存放或成册存放</w:t>
            </w:r>
            <w:r>
              <w:rPr>
                <w:rFonts w:hint="eastAsia" w:ascii="Times New Roman" w:hAnsi="Times New Roman" w:eastAsia="宋体" w:cs="Times New Roman"/>
                <w:color w:val="auto"/>
                <w:sz w:val="24"/>
                <w:szCs w:val="24"/>
                <w:lang w:val="en-US" w:eastAsia="zh-CN"/>
              </w:rPr>
              <w:t>。</w:t>
            </w:r>
          </w:p>
          <w:p>
            <w:pPr>
              <w:spacing w:line="360" w:lineRule="auto"/>
              <w:ind w:firstLine="480" w:firstLineChars="200"/>
              <w:jc w:val="left"/>
              <w:rPr>
                <w:rFonts w:hint="eastAsia"/>
                <w:color w:val="auto"/>
                <w:lang w:val="en-US" w:eastAsia="zh-CN"/>
              </w:rPr>
            </w:pPr>
            <w:r>
              <w:rPr>
                <w:rFonts w:hint="default" w:ascii="Times New Roman" w:hAnsi="Times New Roman" w:eastAsia="宋体" w:cs="Times New Roman"/>
                <w:color w:val="auto"/>
                <w:sz w:val="24"/>
                <w:szCs w:val="24"/>
                <w:lang w:val="en-US" w:eastAsia="zh-CN"/>
              </w:rPr>
              <w:t>2、</w:t>
            </w:r>
            <w:r>
              <w:rPr>
                <w:rFonts w:hint="eastAsia" w:ascii="Times New Roman" w:hAnsi="Times New Roman" w:eastAsia="宋体" w:cs="Times New Roman"/>
                <w:color w:val="auto"/>
                <w:sz w:val="24"/>
                <w:szCs w:val="24"/>
                <w:lang w:val="en-US" w:eastAsia="zh-CN"/>
              </w:rPr>
              <w:t>项目运行期内，做好管道的维护检修工作</w:t>
            </w:r>
            <w:r>
              <w:rPr>
                <w:rFonts w:hint="default" w:ascii="Times New Roman" w:hAnsi="Times New Roman" w:eastAsia="宋体" w:cs="Times New Roman"/>
                <w:color w:val="auto"/>
                <w:sz w:val="24"/>
                <w:szCs w:val="24"/>
                <w:lang w:val="en-US" w:eastAsia="zh-CN"/>
              </w:rPr>
              <w:t>。</w:t>
            </w:r>
          </w:p>
        </w:tc>
      </w:tr>
    </w:tbl>
    <w:p>
      <w:pPr>
        <w:spacing w:line="411" w:lineRule="exact"/>
        <w:ind w:left="4440"/>
        <w:rPr>
          <w:b/>
          <w:color w:val="auto"/>
          <w:sz w:val="36"/>
        </w:rPr>
        <w:sectPr>
          <w:pgSz w:w="11906" w:h="16838"/>
          <w:pgMar w:top="1134" w:right="1134" w:bottom="1134" w:left="1134" w:header="851" w:footer="992" w:gutter="0"/>
          <w:pgBorders>
            <w:top w:val="none" w:sz="0" w:space="0"/>
            <w:left w:val="none" w:sz="0" w:space="0"/>
            <w:bottom w:val="none" w:sz="0" w:space="0"/>
            <w:right w:val="none" w:sz="0" w:space="0"/>
          </w:pgBorders>
          <w:pgNumType w:fmt="decimal"/>
          <w:cols w:space="720" w:num="1"/>
          <w:docGrid w:type="lines" w:linePitch="312" w:charSpace="0"/>
        </w:sectPr>
      </w:pPr>
    </w:p>
    <w:tbl>
      <w:tblPr>
        <w:tblStyle w:val="22"/>
        <w:tblpPr w:leftFromText="180" w:rightFromText="180" w:vertAnchor="text" w:horzAnchor="margin" w:tblpY="158"/>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68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4133" w:hRule="atLeast"/>
        </w:trPr>
        <w:tc>
          <w:tcPr>
            <w:tcW w:w="5000" w:type="pct"/>
            <w:tcBorders>
              <w:top w:val="single" w:color="auto" w:sz="12" w:space="0"/>
              <w:bottom w:val="single" w:color="auto" w:sz="12" w:space="0"/>
            </w:tcBorders>
          </w:tcPr>
          <w:p>
            <w:pPr>
              <w:rPr>
                <w:color w:val="auto"/>
              </w:rPr>
            </w:pPr>
          </w:p>
          <w:p>
            <w:pPr>
              <w:spacing w:line="411" w:lineRule="exact"/>
              <w:ind w:left="4440"/>
              <w:rPr>
                <w:b/>
                <w:color w:val="auto"/>
                <w:sz w:val="36"/>
              </w:rPr>
            </w:pPr>
          </w:p>
          <w:p>
            <w:pPr>
              <w:spacing w:line="411" w:lineRule="exact"/>
              <w:jc w:val="center"/>
              <w:rPr>
                <w:rFonts w:eastAsia="Times New Roman"/>
                <w:color w:val="auto"/>
              </w:rPr>
            </w:pPr>
            <w:r>
              <w:rPr>
                <w:b/>
                <w:color w:val="auto"/>
                <w:sz w:val="36"/>
              </w:rPr>
              <w:t>附</w:t>
            </w:r>
            <w:r>
              <w:rPr>
                <w:rFonts w:hint="eastAsia"/>
                <w:b/>
                <w:color w:val="auto"/>
                <w:sz w:val="36"/>
                <w:lang w:val="en-US" w:eastAsia="zh-CN"/>
              </w:rPr>
              <w:t xml:space="preserve"> </w:t>
            </w:r>
            <w:r>
              <w:rPr>
                <w:b/>
                <w:color w:val="auto"/>
                <w:sz w:val="36"/>
              </w:rPr>
              <w:t>件</w:t>
            </w:r>
          </w:p>
          <w:p>
            <w:pPr>
              <w:spacing w:line="341" w:lineRule="exact"/>
              <w:ind w:left="1200"/>
              <w:rPr>
                <w:color w:val="auto"/>
                <w:sz w:val="28"/>
              </w:rPr>
            </w:pPr>
          </w:p>
          <w:p>
            <w:pPr>
              <w:spacing w:line="360" w:lineRule="auto"/>
              <w:ind w:firstLine="1124" w:firstLineChars="400"/>
              <w:rPr>
                <w:rFonts w:hint="eastAsia"/>
                <w:color w:val="auto"/>
                <w:sz w:val="28"/>
                <w:lang w:val="en-US" w:eastAsia="zh-CN"/>
              </w:rPr>
            </w:pPr>
            <w:r>
              <w:rPr>
                <w:b/>
                <w:bCs/>
                <w:color w:val="auto"/>
                <w:sz w:val="28"/>
              </w:rPr>
              <w:t>附件</w:t>
            </w:r>
            <w:r>
              <w:rPr>
                <w:rFonts w:eastAsia="Times New Roman"/>
                <w:b/>
                <w:bCs/>
                <w:color w:val="auto"/>
                <w:sz w:val="28"/>
              </w:rPr>
              <w:t>1</w:t>
            </w:r>
            <w:r>
              <w:rPr>
                <w:rFonts w:hint="eastAsia"/>
                <w:b/>
                <w:bCs/>
                <w:color w:val="auto"/>
                <w:sz w:val="28"/>
                <w:lang w:eastAsia="zh-CN"/>
              </w:rPr>
              <w:t>：</w:t>
            </w:r>
            <w:r>
              <w:rPr>
                <w:rFonts w:hint="eastAsia"/>
                <w:color w:val="auto"/>
                <w:sz w:val="28"/>
                <w:lang w:val="en-US" w:eastAsia="zh-CN"/>
              </w:rPr>
              <w:t>委托书</w:t>
            </w:r>
          </w:p>
          <w:p>
            <w:pPr>
              <w:spacing w:line="360" w:lineRule="auto"/>
              <w:ind w:firstLine="1124" w:firstLineChars="400"/>
              <w:rPr>
                <w:rFonts w:hint="eastAsia" w:eastAsia="宋体"/>
                <w:color w:val="auto"/>
                <w:lang w:eastAsia="zh-CN"/>
              </w:rPr>
            </w:pPr>
            <w:r>
              <w:rPr>
                <w:rFonts w:hint="eastAsia"/>
                <w:b/>
                <w:bCs/>
                <w:color w:val="auto"/>
                <w:sz w:val="28"/>
                <w:lang w:eastAsia="zh-CN"/>
              </w:rPr>
              <w:t>附件</w:t>
            </w:r>
            <w:r>
              <w:rPr>
                <w:rFonts w:hint="eastAsia"/>
                <w:b/>
                <w:bCs/>
                <w:color w:val="auto"/>
                <w:sz w:val="28"/>
                <w:lang w:val="en-US" w:eastAsia="zh-CN"/>
              </w:rPr>
              <w:t>2：</w:t>
            </w:r>
            <w:r>
              <w:rPr>
                <w:rFonts w:hint="eastAsia"/>
                <w:color w:val="auto"/>
                <w:sz w:val="28"/>
                <w:lang w:eastAsia="zh-CN"/>
              </w:rPr>
              <w:t>环评批复</w:t>
            </w:r>
          </w:p>
          <w:p>
            <w:pPr>
              <w:spacing w:line="360" w:lineRule="auto"/>
              <w:ind w:right="1026" w:firstLine="1124" w:firstLineChars="400"/>
              <w:rPr>
                <w:rFonts w:hint="eastAsia"/>
                <w:color w:val="auto"/>
                <w:sz w:val="28"/>
                <w:lang w:val="en-US" w:eastAsia="zh-CN"/>
              </w:rPr>
            </w:pPr>
            <w:r>
              <w:rPr>
                <w:rFonts w:hint="eastAsia"/>
                <w:b/>
                <w:bCs/>
                <w:color w:val="auto"/>
                <w:sz w:val="28"/>
                <w:lang w:eastAsia="zh-CN"/>
              </w:rPr>
              <w:t>附件</w:t>
            </w:r>
            <w:r>
              <w:rPr>
                <w:rFonts w:hint="eastAsia"/>
                <w:b/>
                <w:bCs/>
                <w:color w:val="auto"/>
                <w:sz w:val="28"/>
                <w:lang w:val="en-US" w:eastAsia="zh-CN"/>
              </w:rPr>
              <w:t>3</w:t>
            </w:r>
            <w:r>
              <w:rPr>
                <w:rFonts w:hint="eastAsia"/>
                <w:color w:val="auto"/>
                <w:sz w:val="28"/>
                <w:lang w:val="en-US" w:eastAsia="zh-CN"/>
              </w:rPr>
              <w:t>：肥城市行政审批服务局对本项目核准的批复</w:t>
            </w:r>
          </w:p>
          <w:p>
            <w:pPr>
              <w:spacing w:line="360" w:lineRule="auto"/>
              <w:ind w:right="1026" w:firstLine="1124" w:firstLineChars="400"/>
              <w:rPr>
                <w:rFonts w:hint="eastAsia"/>
                <w:color w:val="auto"/>
                <w:sz w:val="28"/>
                <w:szCs w:val="22"/>
                <w:lang w:val="en-US" w:eastAsia="zh-CN"/>
              </w:rPr>
            </w:pPr>
            <w:r>
              <w:rPr>
                <w:rFonts w:hint="eastAsia"/>
                <w:b/>
                <w:bCs/>
                <w:color w:val="auto"/>
                <w:sz w:val="28"/>
                <w:szCs w:val="22"/>
                <w:lang w:val="en-US" w:eastAsia="zh-CN"/>
              </w:rPr>
              <w:t>附件4：</w:t>
            </w:r>
            <w:r>
              <w:rPr>
                <w:rFonts w:hint="eastAsia"/>
                <w:color w:val="auto"/>
                <w:sz w:val="28"/>
                <w:lang w:val="en-US" w:eastAsia="zh-CN"/>
              </w:rPr>
              <w:t>肥城市</w:t>
            </w:r>
            <w:r>
              <w:rPr>
                <w:rFonts w:hint="eastAsia"/>
                <w:color w:val="auto"/>
                <w:sz w:val="28"/>
                <w:szCs w:val="22"/>
                <w:lang w:val="en-US" w:eastAsia="zh-CN"/>
              </w:rPr>
              <w:t>自然资源和规划局对本项目管线路径规划选址说明</w:t>
            </w:r>
          </w:p>
          <w:p>
            <w:pPr>
              <w:spacing w:line="360" w:lineRule="auto"/>
              <w:ind w:right="1026" w:firstLine="1124" w:firstLineChars="400"/>
              <w:rPr>
                <w:rFonts w:hint="eastAsia"/>
                <w:color w:val="auto"/>
                <w:sz w:val="28"/>
                <w:lang w:val="en-US" w:eastAsia="zh-CN"/>
              </w:rPr>
            </w:pPr>
            <w:r>
              <w:rPr>
                <w:rFonts w:hint="eastAsia"/>
                <w:b/>
                <w:bCs/>
                <w:color w:val="auto"/>
                <w:sz w:val="28"/>
                <w:szCs w:val="22"/>
                <w:lang w:val="en-US" w:eastAsia="zh-CN"/>
              </w:rPr>
              <w:t>附件5：</w:t>
            </w:r>
            <w:r>
              <w:rPr>
                <w:rFonts w:hint="eastAsia"/>
                <w:color w:val="auto"/>
                <w:sz w:val="28"/>
                <w:lang w:val="en-US" w:eastAsia="zh-CN"/>
              </w:rPr>
              <w:t>石横镇人民政府对本项目选址方案征询意见的复函</w:t>
            </w:r>
          </w:p>
          <w:p>
            <w:pPr>
              <w:spacing w:line="360" w:lineRule="auto"/>
              <w:ind w:right="1026" w:firstLine="1124" w:firstLineChars="400"/>
              <w:rPr>
                <w:rFonts w:hint="eastAsia"/>
                <w:color w:val="auto"/>
                <w:sz w:val="28"/>
                <w:lang w:val="en-US" w:eastAsia="zh-CN"/>
              </w:rPr>
            </w:pPr>
            <w:r>
              <w:rPr>
                <w:rFonts w:hint="eastAsia"/>
                <w:b/>
                <w:bCs/>
                <w:color w:val="auto"/>
                <w:sz w:val="28"/>
                <w:szCs w:val="22"/>
                <w:lang w:val="en-US" w:eastAsia="zh-CN"/>
              </w:rPr>
              <w:t>附件6：</w:t>
            </w:r>
            <w:r>
              <w:rPr>
                <w:rFonts w:hint="eastAsia"/>
                <w:color w:val="auto"/>
                <w:sz w:val="28"/>
                <w:lang w:val="en-US" w:eastAsia="zh-CN"/>
              </w:rPr>
              <w:t>肥城市水利局对本项选址方案征询意见的复函</w:t>
            </w:r>
          </w:p>
          <w:p>
            <w:pPr>
              <w:spacing w:line="360" w:lineRule="auto"/>
              <w:ind w:right="1026" w:firstLine="1124" w:firstLineChars="400"/>
              <w:rPr>
                <w:rFonts w:hint="eastAsia"/>
                <w:color w:val="auto"/>
                <w:sz w:val="28"/>
                <w:lang w:val="en-US" w:eastAsia="zh-CN"/>
              </w:rPr>
            </w:pPr>
            <w:r>
              <w:rPr>
                <w:rFonts w:hint="eastAsia" w:ascii="Times New Roman" w:hAnsi="Times New Roman" w:eastAsia="宋体" w:cs="Times New Roman"/>
                <w:b/>
                <w:bCs/>
                <w:color w:val="auto"/>
                <w:kern w:val="2"/>
                <w:sz w:val="28"/>
                <w:szCs w:val="22"/>
                <w:lang w:val="en-US" w:eastAsia="zh-CN" w:bidi="ar-SA"/>
              </w:rPr>
              <w:t>附件7：</w:t>
            </w:r>
            <w:r>
              <w:rPr>
                <w:rFonts w:hint="eastAsia"/>
                <w:color w:val="auto"/>
                <w:sz w:val="28"/>
                <w:lang w:val="en-US" w:eastAsia="zh-CN"/>
              </w:rPr>
              <w:t>肥城市文化和旅游局对本项目文物情况的说明</w:t>
            </w:r>
          </w:p>
          <w:p>
            <w:pPr>
              <w:spacing w:line="360" w:lineRule="auto"/>
              <w:ind w:right="1026" w:firstLine="1124" w:firstLineChars="400"/>
              <w:rPr>
                <w:rFonts w:hint="eastAsia"/>
                <w:color w:val="auto"/>
                <w:sz w:val="28"/>
                <w:highlight w:val="none"/>
                <w:lang w:val="en-US" w:eastAsia="zh-CN"/>
              </w:rPr>
            </w:pPr>
            <w:r>
              <w:rPr>
                <w:rFonts w:hint="eastAsia"/>
                <w:b/>
                <w:bCs/>
                <w:color w:val="auto"/>
                <w:sz w:val="28"/>
                <w:szCs w:val="22"/>
                <w:lang w:val="en-US" w:eastAsia="zh-CN"/>
              </w:rPr>
              <w:t>附件8：</w:t>
            </w:r>
            <w:r>
              <w:rPr>
                <w:rFonts w:hint="eastAsia"/>
                <w:color w:val="auto"/>
                <w:sz w:val="28"/>
                <w:highlight w:val="none"/>
                <w:lang w:val="en-US" w:eastAsia="zh-CN"/>
              </w:rPr>
              <w:t>本项目施工期间无环境违法行为证明</w:t>
            </w:r>
            <w:bookmarkStart w:id="2" w:name="_GoBack"/>
            <w:bookmarkEnd w:id="2"/>
          </w:p>
          <w:p>
            <w:pPr>
              <w:spacing w:line="360" w:lineRule="auto"/>
              <w:ind w:firstLine="1124" w:firstLineChars="400"/>
              <w:rPr>
                <w:rFonts w:hint="default"/>
                <w:color w:val="auto"/>
                <w:sz w:val="28"/>
                <w:szCs w:val="22"/>
                <w:lang w:val="en-US" w:eastAsia="zh-CN"/>
              </w:rPr>
            </w:pPr>
            <w:r>
              <w:rPr>
                <w:rFonts w:hint="eastAsia" w:cs="Times New Roman"/>
                <w:b/>
                <w:bCs/>
                <w:color w:val="auto"/>
                <w:sz w:val="28"/>
                <w:szCs w:val="22"/>
                <w:lang w:val="en-US" w:eastAsia="zh-CN"/>
              </w:rPr>
              <w:t>附件9：</w:t>
            </w:r>
            <w:r>
              <w:rPr>
                <w:rFonts w:hint="eastAsia"/>
                <w:color w:val="auto"/>
                <w:sz w:val="28"/>
                <w:szCs w:val="22"/>
                <w:lang w:val="en-US" w:eastAsia="zh-CN"/>
              </w:rPr>
              <w:t>环保管理制度</w:t>
            </w:r>
          </w:p>
          <w:p>
            <w:pPr>
              <w:spacing w:line="360" w:lineRule="auto"/>
              <w:ind w:firstLine="1124" w:firstLineChars="400"/>
              <w:rPr>
                <w:rFonts w:hint="default" w:eastAsia="宋体"/>
                <w:b/>
                <w:color w:val="auto"/>
                <w:sz w:val="24"/>
                <w:lang w:val="en-US" w:eastAsia="zh-CN"/>
              </w:rPr>
            </w:pPr>
            <w:r>
              <w:rPr>
                <w:rFonts w:hint="eastAsia" w:ascii="Times New Roman" w:hAnsi="Times New Roman" w:eastAsia="宋体" w:cs="Times New Roman"/>
                <w:b/>
                <w:bCs/>
                <w:color w:val="auto"/>
                <w:sz w:val="28"/>
                <w:szCs w:val="22"/>
                <w:lang w:val="en-US" w:eastAsia="zh-CN"/>
              </w:rPr>
              <w:t>附件</w:t>
            </w:r>
            <w:r>
              <w:rPr>
                <w:rFonts w:hint="eastAsia" w:cs="Times New Roman"/>
                <w:b/>
                <w:bCs/>
                <w:color w:val="auto"/>
                <w:sz w:val="28"/>
                <w:szCs w:val="22"/>
                <w:lang w:val="en-US" w:eastAsia="zh-CN"/>
              </w:rPr>
              <w:t>10</w:t>
            </w:r>
            <w:r>
              <w:rPr>
                <w:rFonts w:hint="eastAsia" w:ascii="Times New Roman" w:hAnsi="Times New Roman" w:eastAsia="宋体" w:cs="Times New Roman"/>
                <w:b/>
                <w:bCs/>
                <w:color w:val="auto"/>
                <w:sz w:val="28"/>
                <w:szCs w:val="22"/>
                <w:lang w:val="en-US" w:eastAsia="zh-CN"/>
              </w:rPr>
              <w:t>：</w:t>
            </w:r>
            <w:r>
              <w:rPr>
                <w:rFonts w:hint="eastAsia" w:cs="Times New Roman"/>
                <w:color w:val="auto"/>
                <w:sz w:val="28"/>
                <w:szCs w:val="22"/>
                <w:lang w:val="en-US" w:eastAsia="zh-CN"/>
              </w:rPr>
              <w:t>“三同时”登记表</w:t>
            </w:r>
          </w:p>
        </w:tc>
      </w:tr>
    </w:tbl>
    <w:p>
      <w:pPr>
        <w:pStyle w:val="21"/>
        <w:rPr>
          <w:color w:val="auto"/>
        </w:rPr>
        <w:sectPr>
          <w:headerReference r:id="rId6" w:type="default"/>
          <w:pgSz w:w="11906" w:h="16838"/>
          <w:pgMar w:top="720" w:right="720" w:bottom="720" w:left="720" w:header="454" w:footer="992" w:gutter="0"/>
          <w:pgBorders>
            <w:top w:val="none" w:sz="0" w:space="0"/>
            <w:left w:val="none" w:sz="0" w:space="0"/>
            <w:bottom w:val="none" w:sz="0" w:space="0"/>
            <w:right w:val="none" w:sz="0" w:space="0"/>
          </w:pgBorders>
          <w:pgNumType w:fmt="decimal"/>
          <w:cols w:space="720" w:num="1"/>
          <w:docGrid w:type="lines" w:linePitch="312" w:charSpace="0"/>
        </w:sectPr>
      </w:pPr>
    </w:p>
    <w:p>
      <w:pPr>
        <w:jc w:val="left"/>
        <w:rPr>
          <w:b/>
          <w:color w:val="auto"/>
          <w:sz w:val="28"/>
          <w:szCs w:val="28"/>
        </w:rPr>
      </w:pPr>
      <w:r>
        <w:rPr>
          <w:b/>
          <w:color w:val="auto"/>
          <w:sz w:val="28"/>
          <w:szCs w:val="28"/>
        </w:rPr>
        <w:t>附件</w:t>
      </w:r>
      <w:r>
        <w:rPr>
          <w:rFonts w:hint="eastAsia"/>
          <w:b/>
          <w:color w:val="auto"/>
          <w:sz w:val="28"/>
          <w:szCs w:val="28"/>
          <w:lang w:val="en-US" w:eastAsia="zh-CN"/>
        </w:rPr>
        <w:t>1</w:t>
      </w:r>
      <w:r>
        <w:rPr>
          <w:b/>
          <w:color w:val="auto"/>
          <w:sz w:val="28"/>
          <w:szCs w:val="28"/>
        </w:rPr>
        <w:t>：</w:t>
      </w:r>
    </w:p>
    <w:p>
      <w:pPr>
        <w:pStyle w:val="21"/>
        <w:ind w:left="0" w:leftChars="0" w:firstLine="0" w:firstLineChars="0"/>
        <w:rPr>
          <w:rFonts w:hint="eastAsia" w:eastAsia="宋体"/>
          <w:color w:val="auto"/>
          <w:lang w:eastAsia="zh-CN"/>
        </w:rPr>
      </w:pPr>
      <w:r>
        <w:rPr>
          <w:rFonts w:hint="eastAsia" w:eastAsia="宋体"/>
          <w:color w:val="auto"/>
          <w:lang w:eastAsia="zh-CN"/>
        </w:rPr>
        <w:drawing>
          <wp:inline distT="0" distB="0" distL="114300" distR="114300">
            <wp:extent cx="6639560" cy="8376920"/>
            <wp:effectExtent l="0" t="0" r="5080" b="5080"/>
            <wp:docPr id="7" name="图片 7" descr="热力委托书（公章+日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热力委托书（公章+日期）"/>
                    <pic:cNvPicPr>
                      <a:picLocks noChangeAspect="1"/>
                    </pic:cNvPicPr>
                  </pic:nvPicPr>
                  <pic:blipFill>
                    <a:blip r:embed="rId27"/>
                    <a:stretch>
                      <a:fillRect/>
                    </a:stretch>
                  </pic:blipFill>
                  <pic:spPr>
                    <a:xfrm>
                      <a:off x="0" y="0"/>
                      <a:ext cx="6639560" cy="8376920"/>
                    </a:xfrm>
                    <a:prstGeom prst="rect">
                      <a:avLst/>
                    </a:prstGeom>
                  </pic:spPr>
                </pic:pic>
              </a:graphicData>
            </a:graphic>
          </wp:inline>
        </w:drawing>
      </w:r>
    </w:p>
    <w:p>
      <w:pPr>
        <w:jc w:val="left"/>
        <w:rPr>
          <w:rFonts w:hint="eastAsia"/>
          <w:b/>
          <w:color w:val="auto"/>
          <w:sz w:val="28"/>
          <w:szCs w:val="28"/>
          <w:lang w:eastAsia="zh-CN"/>
        </w:rPr>
      </w:pPr>
    </w:p>
    <w:p>
      <w:pPr>
        <w:jc w:val="left"/>
        <w:rPr>
          <w:rFonts w:hint="default"/>
          <w:b/>
          <w:color w:val="auto"/>
          <w:sz w:val="28"/>
          <w:szCs w:val="28"/>
          <w:lang w:val="en-US" w:eastAsia="zh-CN"/>
        </w:rPr>
      </w:pPr>
      <w:r>
        <w:rPr>
          <w:rFonts w:hint="eastAsia"/>
          <w:b/>
          <w:color w:val="auto"/>
          <w:sz w:val="28"/>
          <w:szCs w:val="28"/>
          <w:lang w:eastAsia="zh-CN"/>
        </w:rPr>
        <w:t>附件</w:t>
      </w:r>
      <w:r>
        <w:rPr>
          <w:rFonts w:hint="eastAsia"/>
          <w:b/>
          <w:color w:val="auto"/>
          <w:sz w:val="28"/>
          <w:szCs w:val="28"/>
          <w:lang w:val="en-US" w:eastAsia="zh-CN"/>
        </w:rPr>
        <w:t>2：</w:t>
      </w:r>
      <w:r>
        <w:rPr>
          <w:rFonts w:hint="default"/>
          <w:b/>
          <w:color w:val="auto"/>
          <w:sz w:val="28"/>
          <w:szCs w:val="28"/>
          <w:lang w:val="en-US" w:eastAsia="zh-CN"/>
        </w:rPr>
        <w:drawing>
          <wp:inline distT="0" distB="0" distL="114300" distR="114300">
            <wp:extent cx="6591935" cy="9246235"/>
            <wp:effectExtent l="0" t="0" r="6985" b="4445"/>
            <wp:docPr id="21" name="图片 21" descr="泰安段管网环评批复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泰安段管网环评批复_00"/>
                    <pic:cNvPicPr>
                      <a:picLocks noChangeAspect="1"/>
                    </pic:cNvPicPr>
                  </pic:nvPicPr>
                  <pic:blipFill>
                    <a:blip r:embed="rId28"/>
                    <a:stretch>
                      <a:fillRect/>
                    </a:stretch>
                  </pic:blipFill>
                  <pic:spPr>
                    <a:xfrm>
                      <a:off x="0" y="0"/>
                      <a:ext cx="6591935" cy="9246235"/>
                    </a:xfrm>
                    <a:prstGeom prst="rect">
                      <a:avLst/>
                    </a:prstGeom>
                  </pic:spPr>
                </pic:pic>
              </a:graphicData>
            </a:graphic>
          </wp:inline>
        </w:drawing>
      </w:r>
    </w:p>
    <w:p>
      <w:pPr>
        <w:pStyle w:val="21"/>
        <w:ind w:left="0" w:leftChars="0" w:firstLine="0" w:firstLineChars="0"/>
        <w:rPr>
          <w:rFonts w:hint="eastAsia" w:eastAsia="宋体"/>
          <w:color w:val="auto"/>
          <w:lang w:eastAsia="zh-CN"/>
        </w:rPr>
        <w:sectPr>
          <w:pgSz w:w="11906" w:h="16838"/>
          <w:pgMar w:top="720" w:right="720" w:bottom="720" w:left="720" w:header="567" w:footer="567" w:gutter="0"/>
          <w:pgBorders>
            <w:top w:val="none" w:sz="0" w:space="0"/>
            <w:left w:val="none" w:sz="0" w:space="0"/>
            <w:bottom w:val="none" w:sz="0" w:space="0"/>
            <w:right w:val="none" w:sz="0" w:space="0"/>
          </w:pgBorders>
          <w:pgNumType w:fmt="decimal"/>
          <w:cols w:space="720" w:num="1"/>
          <w:docGrid w:type="lines" w:linePitch="312" w:charSpace="0"/>
        </w:sectPr>
      </w:pPr>
    </w:p>
    <w:p>
      <w:pPr>
        <w:jc w:val="left"/>
        <w:rPr>
          <w:rFonts w:hint="eastAsia" w:eastAsia="宋体"/>
          <w:b/>
          <w:bCs/>
          <w:color w:val="auto"/>
          <w:sz w:val="28"/>
          <w:szCs w:val="28"/>
          <w:lang w:eastAsia="zh-CN"/>
        </w:rPr>
      </w:pPr>
      <w:r>
        <w:rPr>
          <w:b/>
          <w:bCs/>
          <w:color w:val="auto"/>
          <w:sz w:val="28"/>
          <w:szCs w:val="28"/>
        </w:rPr>
        <w:t>附件</w:t>
      </w:r>
      <w:r>
        <w:rPr>
          <w:rFonts w:hint="eastAsia"/>
          <w:b/>
          <w:bCs/>
          <w:color w:val="auto"/>
          <w:sz w:val="28"/>
          <w:szCs w:val="28"/>
          <w:lang w:val="en-US" w:eastAsia="zh-CN"/>
        </w:rPr>
        <w:t>3</w:t>
      </w:r>
      <w:r>
        <w:rPr>
          <w:b/>
          <w:bCs/>
          <w:color w:val="auto"/>
          <w:sz w:val="28"/>
          <w:szCs w:val="28"/>
        </w:rPr>
        <w:t>：</w:t>
      </w:r>
      <w:r>
        <w:rPr>
          <w:rFonts w:hint="eastAsia" w:eastAsia="宋体"/>
          <w:b/>
          <w:bCs/>
          <w:color w:val="auto"/>
          <w:sz w:val="28"/>
          <w:szCs w:val="28"/>
          <w:lang w:eastAsia="zh-CN"/>
        </w:rPr>
        <w:drawing>
          <wp:inline distT="0" distB="0" distL="114300" distR="114300">
            <wp:extent cx="6685280" cy="9115425"/>
            <wp:effectExtent l="0" t="0" r="5080" b="13335"/>
            <wp:docPr id="22" name="图片 22" descr="3附件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3附件_06"/>
                    <pic:cNvPicPr>
                      <a:picLocks noChangeAspect="1"/>
                    </pic:cNvPicPr>
                  </pic:nvPicPr>
                  <pic:blipFill>
                    <a:blip r:embed="rId29"/>
                    <a:srcRect l="2990" t="1158" r="3718"/>
                    <a:stretch>
                      <a:fillRect/>
                    </a:stretch>
                  </pic:blipFill>
                  <pic:spPr>
                    <a:xfrm>
                      <a:off x="0" y="0"/>
                      <a:ext cx="6685280" cy="9115425"/>
                    </a:xfrm>
                    <a:prstGeom prst="rect">
                      <a:avLst/>
                    </a:prstGeom>
                  </pic:spPr>
                </pic:pic>
              </a:graphicData>
            </a:graphic>
          </wp:inline>
        </w:drawing>
      </w:r>
    </w:p>
    <w:p>
      <w:pPr>
        <w:pStyle w:val="21"/>
        <w:ind w:left="0" w:leftChars="0" w:firstLine="0" w:firstLineChars="0"/>
        <w:rPr>
          <w:rFonts w:hint="eastAsia"/>
          <w:color w:val="auto"/>
          <w:lang w:eastAsia="zh-CN"/>
        </w:rPr>
      </w:pPr>
      <w:r>
        <w:rPr>
          <w:rFonts w:hint="eastAsia"/>
          <w:color w:val="auto"/>
          <w:lang w:eastAsia="zh-CN"/>
        </w:rPr>
        <w:drawing>
          <wp:inline distT="0" distB="0" distL="114300" distR="114300">
            <wp:extent cx="6640195" cy="9568815"/>
            <wp:effectExtent l="0" t="0" r="4445" b="1905"/>
            <wp:docPr id="23" name="图片 23" descr="3附件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3附件_07"/>
                    <pic:cNvPicPr>
                      <a:picLocks noChangeAspect="1"/>
                    </pic:cNvPicPr>
                  </pic:nvPicPr>
                  <pic:blipFill>
                    <a:blip r:embed="rId30"/>
                    <a:srcRect l="5737" r="4297"/>
                    <a:stretch>
                      <a:fillRect/>
                    </a:stretch>
                  </pic:blipFill>
                  <pic:spPr>
                    <a:xfrm>
                      <a:off x="0" y="0"/>
                      <a:ext cx="6640195" cy="9568815"/>
                    </a:xfrm>
                    <a:prstGeom prst="rect">
                      <a:avLst/>
                    </a:prstGeom>
                  </pic:spPr>
                </pic:pic>
              </a:graphicData>
            </a:graphic>
          </wp:inline>
        </w:drawing>
      </w:r>
      <w:r>
        <w:rPr>
          <w:rFonts w:hint="eastAsia"/>
          <w:color w:val="auto"/>
          <w:lang w:eastAsia="zh-CN"/>
        </w:rPr>
        <w:drawing>
          <wp:inline distT="0" distB="0" distL="114300" distR="114300">
            <wp:extent cx="6624955" cy="9598660"/>
            <wp:effectExtent l="0" t="0" r="4445" b="2540"/>
            <wp:docPr id="24" name="图片 24" descr="3附件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3附件_08"/>
                    <pic:cNvPicPr>
                      <a:picLocks noChangeAspect="1"/>
                    </pic:cNvPicPr>
                  </pic:nvPicPr>
                  <pic:blipFill>
                    <a:blip r:embed="rId31"/>
                    <a:srcRect l="6885" r="6196"/>
                    <a:stretch>
                      <a:fillRect/>
                    </a:stretch>
                  </pic:blipFill>
                  <pic:spPr>
                    <a:xfrm>
                      <a:off x="0" y="0"/>
                      <a:ext cx="6624955" cy="9598660"/>
                    </a:xfrm>
                    <a:prstGeom prst="rect">
                      <a:avLst/>
                    </a:prstGeom>
                  </pic:spPr>
                </pic:pic>
              </a:graphicData>
            </a:graphic>
          </wp:inline>
        </w:drawing>
      </w:r>
      <w:r>
        <w:rPr>
          <w:rFonts w:hint="eastAsia"/>
          <w:color w:val="auto"/>
          <w:lang w:eastAsia="zh-CN"/>
        </w:rPr>
        <w:drawing>
          <wp:inline distT="0" distB="0" distL="114300" distR="114300">
            <wp:extent cx="6671310" cy="9508490"/>
            <wp:effectExtent l="0" t="0" r="3810" b="1270"/>
            <wp:docPr id="25" name="图片 25" descr="3附件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附件_09"/>
                    <pic:cNvPicPr>
                      <a:picLocks noChangeAspect="1"/>
                    </pic:cNvPicPr>
                  </pic:nvPicPr>
                  <pic:blipFill>
                    <a:blip r:embed="rId32"/>
                    <a:srcRect l="8721" r="8950"/>
                    <a:stretch>
                      <a:fillRect/>
                    </a:stretch>
                  </pic:blipFill>
                  <pic:spPr>
                    <a:xfrm>
                      <a:off x="0" y="0"/>
                      <a:ext cx="6671310" cy="9508490"/>
                    </a:xfrm>
                    <a:prstGeom prst="rect">
                      <a:avLst/>
                    </a:prstGeom>
                  </pic:spPr>
                </pic:pic>
              </a:graphicData>
            </a:graphic>
          </wp:inline>
        </w:drawing>
      </w:r>
    </w:p>
    <w:p>
      <w:pPr>
        <w:jc w:val="left"/>
        <w:rPr>
          <w:rFonts w:hint="eastAsia"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eastAsia="zh-CN"/>
        </w:rPr>
        <w:t>附件</w:t>
      </w:r>
      <w:r>
        <w:rPr>
          <w:rFonts w:hint="eastAsia" w:cs="Times New Roman"/>
          <w:b/>
          <w:bCs/>
          <w:color w:val="auto"/>
          <w:sz w:val="28"/>
          <w:szCs w:val="28"/>
          <w:lang w:val="en-US" w:eastAsia="zh-CN"/>
        </w:rPr>
        <w:t>4</w:t>
      </w:r>
      <w:r>
        <w:rPr>
          <w:rFonts w:hint="eastAsia" w:ascii="Times New Roman" w:hAnsi="Times New Roman" w:eastAsia="宋体" w:cs="Times New Roman"/>
          <w:b/>
          <w:bCs/>
          <w:color w:val="auto"/>
          <w:sz w:val="28"/>
          <w:szCs w:val="28"/>
          <w:lang w:val="en-US" w:eastAsia="zh-CN"/>
        </w:rPr>
        <w:t>：</w:t>
      </w:r>
    </w:p>
    <w:p>
      <w:pPr>
        <w:rPr>
          <w:rFonts w:hint="default"/>
          <w:color w:val="auto"/>
          <w:lang w:val="en-US" w:eastAsia="zh-CN"/>
        </w:rPr>
      </w:pPr>
      <w:r>
        <w:rPr>
          <w:rFonts w:hint="default"/>
          <w:color w:val="auto"/>
          <w:lang w:val="en-US" w:eastAsia="zh-CN"/>
        </w:rPr>
        <w:drawing>
          <wp:inline distT="0" distB="0" distL="114300" distR="114300">
            <wp:extent cx="6643370" cy="9226550"/>
            <wp:effectExtent l="0" t="0" r="1270" b="8890"/>
            <wp:docPr id="26" name="图片 26" descr="3附件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3附件_11"/>
                    <pic:cNvPicPr>
                      <a:picLocks noChangeAspect="1"/>
                    </pic:cNvPicPr>
                  </pic:nvPicPr>
                  <pic:blipFill>
                    <a:blip r:embed="rId33"/>
                    <a:stretch>
                      <a:fillRect/>
                    </a:stretch>
                  </pic:blipFill>
                  <pic:spPr>
                    <a:xfrm>
                      <a:off x="0" y="0"/>
                      <a:ext cx="6643370" cy="9226550"/>
                    </a:xfrm>
                    <a:prstGeom prst="rect">
                      <a:avLst/>
                    </a:prstGeom>
                  </pic:spPr>
                </pic:pic>
              </a:graphicData>
            </a:graphic>
          </wp:inline>
        </w:drawing>
      </w:r>
    </w:p>
    <w:p>
      <w:pPr>
        <w:jc w:val="left"/>
        <w:rPr>
          <w:rFonts w:hint="eastAsia" w:cs="Times New Roman"/>
          <w:b/>
          <w:bCs/>
          <w:color w:val="auto"/>
          <w:sz w:val="28"/>
          <w:szCs w:val="28"/>
          <w:highlight w:val="none"/>
          <w:lang w:val="en-US" w:eastAsia="zh-CN"/>
        </w:rPr>
      </w:pPr>
      <w:r>
        <w:rPr>
          <w:rFonts w:hint="eastAsia" w:cs="Times New Roman"/>
          <w:b/>
          <w:bCs/>
          <w:color w:val="auto"/>
          <w:sz w:val="28"/>
          <w:szCs w:val="28"/>
          <w:highlight w:val="none"/>
          <w:lang w:eastAsia="zh-CN"/>
        </w:rPr>
        <w:t>附件</w:t>
      </w:r>
      <w:r>
        <w:rPr>
          <w:rFonts w:hint="eastAsia" w:cs="Times New Roman"/>
          <w:b/>
          <w:bCs/>
          <w:color w:val="auto"/>
          <w:sz w:val="28"/>
          <w:szCs w:val="28"/>
          <w:highlight w:val="none"/>
          <w:lang w:val="en-US" w:eastAsia="zh-CN"/>
        </w:rPr>
        <w:t>5：</w:t>
      </w:r>
    </w:p>
    <w:p>
      <w:pPr>
        <w:jc w:val="left"/>
        <w:rPr>
          <w:rFonts w:hint="eastAsia" w:ascii="Times New Roman" w:hAnsi="Times New Roman" w:eastAsia="宋体" w:cs="Times New Roman"/>
          <w:b/>
          <w:bCs/>
          <w:color w:val="auto"/>
          <w:sz w:val="28"/>
          <w:szCs w:val="28"/>
          <w:lang w:eastAsia="zh-CN"/>
        </w:rPr>
      </w:pPr>
      <w:r>
        <w:rPr>
          <w:rFonts w:hint="eastAsia" w:ascii="Times New Roman" w:hAnsi="Times New Roman" w:eastAsia="宋体" w:cs="Times New Roman"/>
          <w:b/>
          <w:bCs/>
          <w:color w:val="auto"/>
          <w:sz w:val="28"/>
          <w:szCs w:val="28"/>
          <w:lang w:eastAsia="zh-CN"/>
        </w:rPr>
        <w:drawing>
          <wp:inline distT="0" distB="0" distL="114300" distR="114300">
            <wp:extent cx="6639560" cy="9145905"/>
            <wp:effectExtent l="0" t="0" r="5080" b="13335"/>
            <wp:docPr id="28" name="图片 28" descr="3附件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3附件_12"/>
                    <pic:cNvPicPr>
                      <a:picLocks noChangeAspect="1"/>
                    </pic:cNvPicPr>
                  </pic:nvPicPr>
                  <pic:blipFill>
                    <a:blip r:embed="rId34"/>
                    <a:stretch>
                      <a:fillRect/>
                    </a:stretch>
                  </pic:blipFill>
                  <pic:spPr>
                    <a:xfrm>
                      <a:off x="0" y="0"/>
                      <a:ext cx="6639560" cy="9145905"/>
                    </a:xfrm>
                    <a:prstGeom prst="rect">
                      <a:avLst/>
                    </a:prstGeom>
                  </pic:spPr>
                </pic:pic>
              </a:graphicData>
            </a:graphic>
          </wp:inline>
        </w:drawing>
      </w:r>
    </w:p>
    <w:p>
      <w:pPr>
        <w:jc w:val="left"/>
        <w:rPr>
          <w:rFonts w:hint="default" w:ascii="Times New Roman" w:hAnsi="Times New Roman" w:eastAsia="宋体" w:cs="Times New Roman"/>
          <w:b/>
          <w:bCs/>
          <w:color w:val="auto"/>
          <w:sz w:val="28"/>
          <w:szCs w:val="28"/>
          <w:lang w:val="en-US" w:eastAsia="zh-CN"/>
        </w:rPr>
      </w:pPr>
      <w:r>
        <w:rPr>
          <w:rFonts w:hint="eastAsia" w:ascii="Times New Roman" w:hAnsi="Times New Roman" w:eastAsia="宋体" w:cs="Times New Roman"/>
          <w:b/>
          <w:bCs/>
          <w:color w:val="auto"/>
          <w:sz w:val="28"/>
          <w:szCs w:val="28"/>
          <w:lang w:eastAsia="zh-CN"/>
        </w:rPr>
        <w:t>附件</w:t>
      </w:r>
      <w:r>
        <w:rPr>
          <w:rFonts w:hint="eastAsia" w:cs="Times New Roman"/>
          <w:b/>
          <w:bCs/>
          <w:color w:val="auto"/>
          <w:sz w:val="28"/>
          <w:szCs w:val="28"/>
          <w:lang w:val="en-US" w:eastAsia="zh-CN"/>
        </w:rPr>
        <w:t>6</w:t>
      </w:r>
      <w:r>
        <w:rPr>
          <w:rFonts w:hint="eastAsia" w:ascii="Times New Roman" w:hAnsi="Times New Roman" w:eastAsia="宋体" w:cs="Times New Roman"/>
          <w:b/>
          <w:bCs/>
          <w:color w:val="auto"/>
          <w:sz w:val="28"/>
          <w:szCs w:val="28"/>
          <w:lang w:val="en-US" w:eastAsia="zh-CN"/>
        </w:rPr>
        <w:t>：</w:t>
      </w:r>
    </w:p>
    <w:p>
      <w:pPr>
        <w:pStyle w:val="21"/>
        <w:ind w:left="0" w:leftChars="0" w:firstLine="0" w:firstLineChars="0"/>
        <w:rPr>
          <w:rFonts w:hint="default"/>
          <w:color w:val="auto"/>
          <w:lang w:val="en-US" w:eastAsia="zh-CN"/>
        </w:rPr>
      </w:pPr>
      <w:r>
        <w:rPr>
          <w:rFonts w:hint="default"/>
          <w:color w:val="auto"/>
          <w:lang w:val="en-US" w:eastAsia="zh-CN"/>
        </w:rPr>
        <w:drawing>
          <wp:inline distT="0" distB="0" distL="114300" distR="114300">
            <wp:extent cx="6637655" cy="9195435"/>
            <wp:effectExtent l="0" t="0" r="6985" b="9525"/>
            <wp:docPr id="29" name="图片 29" descr="3附件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3附件_14"/>
                    <pic:cNvPicPr>
                      <a:picLocks noChangeAspect="1"/>
                    </pic:cNvPicPr>
                  </pic:nvPicPr>
                  <pic:blipFill>
                    <a:blip r:embed="rId35"/>
                    <a:stretch>
                      <a:fillRect/>
                    </a:stretch>
                  </pic:blipFill>
                  <pic:spPr>
                    <a:xfrm>
                      <a:off x="0" y="0"/>
                      <a:ext cx="6637655" cy="9195435"/>
                    </a:xfrm>
                    <a:prstGeom prst="rect">
                      <a:avLst/>
                    </a:prstGeom>
                  </pic:spPr>
                </pic:pic>
              </a:graphicData>
            </a:graphic>
          </wp:inline>
        </w:drawing>
      </w:r>
    </w:p>
    <w:p>
      <w:pPr>
        <w:spacing w:line="360" w:lineRule="auto"/>
        <w:jc w:val="both"/>
        <w:rPr>
          <w:rFonts w:hint="eastAsia" w:cs="Times New Roman"/>
          <w:b/>
          <w:bCs/>
          <w:color w:val="auto"/>
          <w:sz w:val="32"/>
          <w:szCs w:val="32"/>
          <w:lang w:val="en-US" w:eastAsia="zh-CN"/>
        </w:rPr>
      </w:pPr>
      <w:r>
        <w:rPr>
          <w:rFonts w:hint="eastAsia" w:cs="Times New Roman"/>
          <w:b/>
          <w:bCs/>
          <w:color w:val="auto"/>
          <w:sz w:val="32"/>
          <w:szCs w:val="32"/>
          <w:lang w:eastAsia="zh-CN"/>
        </w:rPr>
        <w:t>附件</w:t>
      </w:r>
      <w:r>
        <w:rPr>
          <w:rFonts w:hint="eastAsia" w:cs="Times New Roman"/>
          <w:b/>
          <w:bCs/>
          <w:color w:val="auto"/>
          <w:sz w:val="32"/>
          <w:szCs w:val="32"/>
          <w:lang w:val="en-US" w:eastAsia="zh-CN"/>
        </w:rPr>
        <w:t>7：</w:t>
      </w:r>
    </w:p>
    <w:p>
      <w:pPr>
        <w:pStyle w:val="21"/>
        <w:ind w:left="0" w:leftChars="0" w:firstLine="0" w:firstLineChars="0"/>
        <w:rPr>
          <w:rFonts w:hint="default"/>
          <w:color w:val="auto"/>
          <w:lang w:val="en-US" w:eastAsia="zh-CN"/>
        </w:rPr>
      </w:pPr>
      <w:r>
        <w:rPr>
          <w:rFonts w:hint="default"/>
          <w:color w:val="auto"/>
          <w:lang w:val="en-US" w:eastAsia="zh-CN"/>
        </w:rPr>
        <w:drawing>
          <wp:inline distT="0" distB="0" distL="114300" distR="114300">
            <wp:extent cx="6637655" cy="9071610"/>
            <wp:effectExtent l="0" t="0" r="6985" b="11430"/>
            <wp:docPr id="2" name="图片 2" descr="3附件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附件_15"/>
                    <pic:cNvPicPr>
                      <a:picLocks noChangeAspect="1"/>
                    </pic:cNvPicPr>
                  </pic:nvPicPr>
                  <pic:blipFill>
                    <a:blip r:embed="rId36"/>
                    <a:srcRect t="10222"/>
                    <a:stretch>
                      <a:fillRect/>
                    </a:stretch>
                  </pic:blipFill>
                  <pic:spPr>
                    <a:xfrm>
                      <a:off x="0" y="0"/>
                      <a:ext cx="6637655" cy="9071610"/>
                    </a:xfrm>
                    <a:prstGeom prst="rect">
                      <a:avLst/>
                    </a:prstGeom>
                  </pic:spPr>
                </pic:pic>
              </a:graphicData>
            </a:graphic>
          </wp:inline>
        </w:drawing>
      </w:r>
    </w:p>
    <w:p>
      <w:pPr>
        <w:spacing w:line="360" w:lineRule="auto"/>
        <w:jc w:val="both"/>
        <w:rPr>
          <w:rFonts w:hint="default" w:ascii="Times New Roman" w:hAnsi="Times New Roman" w:eastAsia="宋体" w:cs="Times New Roman"/>
          <w:b/>
          <w:bCs/>
          <w:color w:val="auto"/>
          <w:sz w:val="32"/>
          <w:szCs w:val="32"/>
          <w:lang w:val="en-US" w:eastAsia="zh-CN"/>
        </w:rPr>
      </w:pPr>
      <w:r>
        <w:rPr>
          <w:rFonts w:hint="eastAsia" w:cs="Times New Roman"/>
          <w:b/>
          <w:bCs/>
          <w:color w:val="auto"/>
          <w:sz w:val="32"/>
          <w:szCs w:val="32"/>
          <w:lang w:eastAsia="zh-CN"/>
        </w:rPr>
        <w:t>附件</w:t>
      </w:r>
      <w:r>
        <w:rPr>
          <w:rFonts w:hint="eastAsia" w:cs="Times New Roman"/>
          <w:b/>
          <w:bCs/>
          <w:color w:val="auto"/>
          <w:sz w:val="32"/>
          <w:szCs w:val="32"/>
          <w:lang w:val="en-US" w:eastAsia="zh-CN"/>
        </w:rPr>
        <w:t>8：</w:t>
      </w:r>
    </w:p>
    <w:p>
      <w:pPr>
        <w:spacing w:line="360" w:lineRule="auto"/>
        <w:jc w:val="center"/>
        <w:rPr>
          <w:rFonts w:hint="eastAsia" w:ascii="Times New Roman" w:hAnsi="Times New Roman" w:eastAsia="宋体" w:cs="Times New Roman"/>
          <w:b/>
          <w:bCs/>
          <w:color w:val="auto"/>
          <w:sz w:val="32"/>
          <w:szCs w:val="32"/>
          <w:lang w:eastAsia="zh-CN"/>
        </w:rPr>
      </w:pPr>
      <w:r>
        <w:rPr>
          <w:rFonts w:hint="eastAsia" w:ascii="Times New Roman" w:hAnsi="Times New Roman" w:eastAsia="宋体" w:cs="Times New Roman"/>
          <w:b/>
          <w:bCs/>
          <w:color w:val="auto"/>
          <w:sz w:val="32"/>
          <w:szCs w:val="32"/>
          <w:lang w:eastAsia="zh-CN"/>
        </w:rPr>
        <w:drawing>
          <wp:inline distT="0" distB="0" distL="114300" distR="114300">
            <wp:extent cx="6640830" cy="9034780"/>
            <wp:effectExtent l="0" t="0" r="7620" b="13970"/>
            <wp:docPr id="3" name="图片 3" descr="石热入济泰安段无环境违法证明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石热入济泰安段无环境违法证明_00"/>
                    <pic:cNvPicPr>
                      <a:picLocks noChangeAspect="1"/>
                    </pic:cNvPicPr>
                  </pic:nvPicPr>
                  <pic:blipFill>
                    <a:blip r:embed="rId37"/>
                    <a:srcRect b="4678"/>
                    <a:stretch>
                      <a:fillRect/>
                    </a:stretch>
                  </pic:blipFill>
                  <pic:spPr>
                    <a:xfrm>
                      <a:off x="0" y="0"/>
                      <a:ext cx="6640830" cy="9034780"/>
                    </a:xfrm>
                    <a:prstGeom prst="rect">
                      <a:avLst/>
                    </a:prstGeom>
                  </pic:spPr>
                </pic:pic>
              </a:graphicData>
            </a:graphic>
          </wp:inline>
        </w:drawing>
      </w:r>
    </w:p>
    <w:p>
      <w:pPr>
        <w:spacing w:line="360" w:lineRule="auto"/>
        <w:jc w:val="both"/>
        <w:rPr>
          <w:rFonts w:hint="default" w:ascii="Times New Roman" w:hAnsi="Times New Roman" w:eastAsia="宋体" w:cs="Times New Roman"/>
          <w:b/>
          <w:bCs/>
          <w:color w:val="auto"/>
          <w:sz w:val="32"/>
          <w:szCs w:val="32"/>
          <w:lang w:val="en-US" w:eastAsia="zh-CN"/>
        </w:rPr>
      </w:pPr>
      <w:r>
        <w:rPr>
          <w:rFonts w:hint="eastAsia" w:cs="Times New Roman"/>
          <w:b/>
          <w:bCs/>
          <w:color w:val="auto"/>
          <w:sz w:val="32"/>
          <w:szCs w:val="32"/>
          <w:lang w:eastAsia="zh-CN"/>
        </w:rPr>
        <w:t>附件</w:t>
      </w:r>
      <w:r>
        <w:rPr>
          <w:rFonts w:hint="eastAsia" w:cs="Times New Roman"/>
          <w:b/>
          <w:bCs/>
          <w:color w:val="auto"/>
          <w:sz w:val="32"/>
          <w:szCs w:val="32"/>
          <w:lang w:val="en-US" w:eastAsia="zh-CN"/>
        </w:rPr>
        <w:t>9：</w:t>
      </w:r>
    </w:p>
    <w:p>
      <w:pPr>
        <w:spacing w:line="360" w:lineRule="auto"/>
        <w:jc w:val="center"/>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济南热力集团有限公司</w:t>
      </w:r>
    </w:p>
    <w:p>
      <w:pPr>
        <w:spacing w:line="360" w:lineRule="auto"/>
        <w:jc w:val="center"/>
        <w:rPr>
          <w:rFonts w:hint="default" w:ascii="Times New Roman" w:hAnsi="Times New Roman" w:cs="Times New Roman"/>
          <w:b/>
          <w:bCs/>
          <w:color w:val="auto"/>
          <w:sz w:val="32"/>
          <w:szCs w:val="32"/>
        </w:rPr>
      </w:pPr>
      <w:r>
        <w:rPr>
          <w:rFonts w:hint="default" w:ascii="Times New Roman" w:hAnsi="Times New Roman" w:cs="Times New Roman"/>
          <w:b/>
          <w:bCs/>
          <w:color w:val="auto"/>
          <w:sz w:val="32"/>
          <w:szCs w:val="32"/>
        </w:rPr>
        <w:t>环境保护管理制度</w:t>
      </w:r>
    </w:p>
    <w:p>
      <w:pPr>
        <w:spacing w:line="360" w:lineRule="auto"/>
        <w:jc w:val="both"/>
        <w:rPr>
          <w:rFonts w:hint="default" w:ascii="Times New Roman" w:hAnsi="Times New Roman" w:eastAsia="仿宋" w:cs="Times New Roman"/>
          <w:b/>
          <w:bCs/>
          <w:color w:val="auto"/>
          <w:sz w:val="28"/>
          <w:szCs w:val="28"/>
        </w:rPr>
      </w:pPr>
      <w:r>
        <w:rPr>
          <w:rFonts w:hint="default" w:ascii="Times New Roman" w:hAnsi="Times New Roman" w:eastAsia="黑体" w:cs="Times New Roman"/>
          <w:b/>
          <w:bCs/>
          <w:color w:val="auto"/>
          <w:sz w:val="30"/>
          <w:szCs w:val="30"/>
        </w:rPr>
        <w:t xml:space="preserve">                      </w:t>
      </w:r>
    </w:p>
    <w:p>
      <w:pPr>
        <w:spacing w:line="360" w:lineRule="auto"/>
        <w:jc w:val="center"/>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第一章 总  则</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第一条  为保护环境，确保污染物达标排放，创造清洁、适宜的生产环境，实现资源高效利用、能源高效转化，制定本制度。</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第二条  环境保护工作坚持的原则：</w:t>
      </w:r>
      <w:r>
        <w:rPr>
          <w:rFonts w:hint="default" w:ascii="Times New Roman" w:hAnsi="Times New Roman" w:eastAsia="仿宋" w:cs="Times New Roman"/>
          <w:color w:val="auto"/>
          <w:sz w:val="28"/>
          <w:szCs w:val="28"/>
        </w:rPr>
        <w:tab/>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（一）坚持预防为主、防治结合、综合治理的原则。</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（二）坚持推行清洁生产、实行生产全过程污染控制的原则。</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（三）实行污染物达标排放和污染物总量控制的原则。</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（四）新建、改扩建项目，坚持“三同时”原则。</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 xml:space="preserve">第三条  环境保护工作目标： </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（一）杜绝各类重大环境污染事故的发生。</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（二）杜绝各种污染物超标排放情况发生。</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（三）保证环保设施连续、稳定运行。</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（四）保证污染治理设施治理效率。</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第四条  本制度适用于集团公司所属子公司环境保护相关管理工作，参股子公司参照执行。本制度管理范围包含但不限于新建、改扩建项目中环保设施自设计、采购、施工、验收、运行的全过程管理，以及所有生产、经营工程建设环节的环保管理工作。</w:t>
      </w:r>
    </w:p>
    <w:p>
      <w:pPr>
        <w:spacing w:line="360" w:lineRule="auto"/>
        <w:ind w:firstLine="660"/>
        <w:rPr>
          <w:rFonts w:hint="default" w:ascii="Times New Roman" w:hAnsi="Times New Roman" w:eastAsia="仿宋" w:cs="Times New Roman"/>
          <w:color w:val="auto"/>
          <w:sz w:val="28"/>
          <w:szCs w:val="28"/>
        </w:rPr>
      </w:pPr>
    </w:p>
    <w:p>
      <w:pPr>
        <w:spacing w:line="360" w:lineRule="auto"/>
        <w:ind w:firstLine="660"/>
        <w:jc w:val="center"/>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第二章  职责划分</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第五条  生产管理部职责：</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(1）生产管理部是集团公司环境保护工作的归口管理部门，负责与环保管理有关的工作，包括：计划编制、审核、监督、检查、考核等。</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(2)生产管理部负责牵头组织集团公司所属子公司环境因素识别，负责审核环境因素清单的汇总和更新并对环境因素的控制措施进行评价并监督，确保不出现任何环保违法违规行为。</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（3）生产管理部负责国家省市环保法律法规在集团公司的贯彻落实；对环保指标变化的要向集团公司写出书面报告，并向各子公司及相关部门下达书面通知，保留过程记录。</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（4）生产管理部负责集团公司环保工作的监督管理以及与环保有关的工作，包括：环评报告书的审核；环保项目的设计、招投标文件中技术文件的审核；合同审核、实施以及环保设备运行监督检查。</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（5）生产管理部负责审核子公司上报的环保设备技改维修及必要设备新增计划、环保运行委外合同、技术规范书，参与招标、议标、技术方案论证会，并对委外单位进行工作检查。</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（6）生产管理部负责对子公司进行定期与不定期环保检查，填写现场检查记录表，对存在环保隐患的填写环保隐患整改通知单（见附件）。</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（7）生产管理部负责环保设施生产运行情况及经济分析，并定期召开环保工作专题会议，对于出现环保问题的，须针对相应问题立即召开专题会议进行分析，监督落实会议要求，并对相关责任部门做出扣罚。</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（8）生产管理部负责对国内外出现的环保新技术、新产品进行调研，并在可行的情况下在集团内部进行推广应用。</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第六条  基建管理部负责施工现场的环境保护监督管理工作；发生环境安全事故时，安全管理部负责联合有关职能部室，按照“四不放过”原则跟踪处理。</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第七条  基建管理部负责建设项目现场的文明施工管理工作，并按照相关规定开展定期、不定期检查，保证建设项目全过程符合施工现场文明施工标准。</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第八条  发展规划部负责新建、改扩建建设项目环境影响评价编制、报批工作。生产管理部配合发展规划部提供相关环评资料，负责提出环评报告书修改意见，负责项目落地后环评报告书的落实。</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第九条  总工办负责新建、技改类环保项目的方案及技术条款的制定，负责委托设计及项目申请报告的编制。生产管理部参与新建、技改类环保项目的审核。</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第十条  财务部负责缴纳排污税，各子公司提交相关数据经生产部审核后，配合财务部进行缴纳。</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第十一条 总工办、发展规划部、供应部，应在相关环保方案、环评手续、招标文件等完成后两个工作日内，向生产管理部书面交付相关文件。</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第十二条  集团公司其他部门（政工部等部门）应按照集团公司内部规定，配合相关环保工作。</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第十三条 各子公司负责环保工作的具体实施，负责人为本单位环保工作的直接责任人，负责本部门环保法律法规、制度的具体执行，负责建立完善环保管理体系，设置专人负责环保工作。</w:t>
      </w:r>
    </w:p>
    <w:p>
      <w:pPr>
        <w:spacing w:line="360" w:lineRule="auto"/>
        <w:jc w:val="center"/>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第三章  建设项目及施工过程环境保护管理</w:t>
      </w:r>
    </w:p>
    <w:p>
      <w:pPr>
        <w:spacing w:line="360" w:lineRule="auto"/>
        <w:ind w:firstLine="6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第十四条  新建、改扩建项目，必须严格按照环评批复要求进行设计、施工、验收，投入生产后必须执行污染物排放的国家标准和地方标准，在实施重点污染物排放总量控制的区域内，还必须符合重点污染物排放总量控制的要求。</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第十五条 新建、改扩建项目，必须严格按照建设项目环境影响评价信息公开机制方案执行。建立环评信息公开机制，全面推进环评信息全过程公开.发展规划部负责公开环境影响报告书编制信息，公开环境影响报告书（表）全本。各子公司负责公开建设项目开工前的信息，公开建设项目施工过程中的信息，公开建设项目建成后的信息。</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第十六条  新建、改扩建建设项目需要配套建设的环境保护设施，必须与主体工程同时设计、同时施工、同时投产使用。建设项目的主体工程完工后，需要进行试生产的，必须报经生产管理部同意，其配套建设的环境保护设施必须与主体工程同时投入试运行。</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第十七条 各子公司施工时须严格按照《济南市建设工地文明施工与扬尘治理检查标准》、《济南市2021年大气污染防治实施方案》、《关于进一步严格建设工程扬尘污染防治措施的意见》等法律法规、上级文件中的治理标准，严格落实施工现场“八达标两承诺一公示”要求，按照要求配备并规范使用施工焊烟收集器。开工前必须做到环保问题治理方案到位、在线监测及视频监控到位，签订“使用合格油品承诺书”与“严格控制扬尘承诺书”，并在施工现场明显位置设置扬尘污染防治公示牌，公开参建各方施工环保负责人姓名、举报电话等内容。</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第十八条  加强对施工工地的噪声管理，视情况采取错时施工、加装噪声隔离墙等措施，严格按照《建筑施工场界环境噪声排放标准,GB12523-2011》中的要求控制场界环境噪声排放。需要夜间施工的，应提前办理夜间施工许可证。</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 xml:space="preserve">第十九条  各子公司负责人为本公司设备探伤管理的直接责任人，负责本部门设备、管网等探伤法律法规、制度条例的执行。探伤检测机构需具备相应资质，具备辐射安全许可证，各子公司作为工程主管部门，在进行设备、管网探伤工作前，应检查施工单位是否与具备辐射安全许可证的探伤检测单位签订合同；每次探伤作业前，需由探伤检测单位向属地环保局进行报备，办理工作票；探伤作业前应做好开工前的培训，射线检测人员检测前应接受作业文件交底，并在记录中签字；规划好探伤时间，避开人员密集的时刻工作，划出安全防护区域，设置明显的安全警示标志，必要时设专人警戒，做好屏蔽防护，避免造成公众人员的误照事件，确保现场施工人员及周围公众人员的安全。 </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第二十条  将施工废水和生活污水的排放处理纳入施工方案，经生产管理部审批后方可开工。施工项目开工前，要根据工程特点、施工方案制定施工废水污染防治措施，并配备专职人员，负责施工建设中废水污染防治的日常检查工作。</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第二十一条 对施工现场的固体废物应设置固定的存放区域，分类、定点存放并配备专人管理，及时清运、处置，不得乱堆乱放、随意扬弃，防止污染环境。</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第二十二条  依据济南市政府《关于划定非道路移动机械高排放禁用区和低排放控制区的通告，济政发[2019]17号》中关于“高排放禁用区”与“低排放控制区”的相关要求，施工现场所使用的非道路移动机械应满足所属限制区域要求，且具有辖区生态环境部门编制的环保号码，严禁不符合通告标准的非道路移动机械进场施工。</w:t>
      </w:r>
    </w:p>
    <w:p>
      <w:pPr>
        <w:spacing w:line="360" w:lineRule="auto"/>
        <w:ind w:firstLine="562" w:firstLineChars="200"/>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第四章  生产现场环境保护管理</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第二十三条 各子公司在组织生产过程中，应最大限度地节约和综合利用资源和能源，减少污染物排放，降低污染物排放影响，做好技术革新和综合利用。</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第二十四条 各子公司必须严格按照国家相关法律法规进行日常管理，严禁出现偷排、私自停运环保设施等违法违规行为。</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第二十五条　集团公司所有运行锅炉烟尘、二氧化硫、氮氧化物、废水、噪声等污染物排放必须符合国家及地方污染物排放标准规定的限值要求，造成超标排放的由子公司承担相应责任。</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第二十六条 各子公司及相关部门对各自所辖范围的环境因素进行识别、上报并负责对辖区内环境因素的控制措施进行落实，制定环境因素清单后交由生产管理部审核。</w:t>
      </w:r>
    </w:p>
    <w:p>
      <w:pPr>
        <w:ind w:firstLine="560" w:firstLineChars="200"/>
        <w:rPr>
          <w:rFonts w:hint="default" w:ascii="Times New Roman" w:hAnsi="Times New Roman" w:cs="Times New Roman"/>
          <w:color w:val="auto"/>
          <w:sz w:val="28"/>
          <w:szCs w:val="28"/>
        </w:rPr>
      </w:pPr>
      <w:r>
        <w:rPr>
          <w:rFonts w:hint="default" w:ascii="Times New Roman" w:hAnsi="Times New Roman" w:eastAsia="仿宋" w:cs="Times New Roman"/>
          <w:color w:val="auto"/>
          <w:sz w:val="28"/>
          <w:szCs w:val="28"/>
        </w:rPr>
        <w:t>第二十七条 各子公司应根据属地环保部门要求对重污染天气应急实施方案进行备案，厂内明显位置安装公示牌，公示牌内容齐全，公示牌响应措施与重污染天气应急减排清单一致，现场应急响应措施与重污染天气应急减排清单一致。环保设备开停机记录；比对生产记录和生产线或设备开停机记录，核实环保设备运行时间与生产设备运行时间一致。</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第二十八条 各子公司根据排污许可管理办法及时办理排污设施的排污许可证。并根据排污许可证要求开展自行监测工作，上传自行监测信息及监测信息台账更新工作。生产运行期间时刻注意环境自动监测监控系统网站信息，及时回复工单，上报停产信息。</w:t>
      </w:r>
    </w:p>
    <w:p>
      <w:pPr>
        <w:spacing w:line="360" w:lineRule="auto"/>
        <w:ind w:firstLine="66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第二十九条 各子公司建立环保档案。采取“一企一档”管理制度，列好分目录、汇总总目录，确保档案实体与电子数据的一致性和统一性，实现了“可看，好找，能查”的目标。</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第三十条  各子公司需做好辖区内无组织排放管控，记录好废气收集系统、除尘设施及其他无组织排放控制措施的主要运行信息，如运行时间、废气处理量，洒水作业周期。</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第三十一条  各子公司须将粒装、块状等易散发粉尘的物料储存于密闭料仓中，临时露天存放的必须用防尘布、防尘网覆盖严密，运输散装物料时应使用密闭车厢或采用防尘布、防尘网等治理措施，不得有物料遗撒，减少扬尘污染的产生。厂区道路或站点道路须硬化并定期清扫、洒水保持清洁。</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第三十二条 生产厂区及施工工地应配备车辆清洗装置，车辆在驶离厂区或施工站点前应清洗车轮、清洁车身，并做好记录。厂区内有非道路移动机械的，按济南市《非道路移动机械排气污染防治条例》进行管理。</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第三十三条  各子公司需做好运行期间的环保数据实时监控，数据异常时应立即采取应急措施，并按规定向生产管理部报告，详细做好过程记录以及情况分析。</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第三十四条  各子公司在运行期间的每次启、停锅炉操作及监测网站上出现无效数据时，需立即向环保局报告，并详细做好过程记录。</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第三十五条  各子公司应建立健全环保设施的维护保养、检修、操作运行规程，加强运行人员管理，加强设备巡检，做好环保设施运行记录及设备巡检记录，保障环保设备连续稳定运行。</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第三十六条  各子公司应制定环境污染事故应急预案，每年根据环保设施变更进行修订，并组织人员进行演练，演练时做好过程记录并存档，制定及修订后都应立即向生产管理部报备。</w:t>
      </w:r>
    </w:p>
    <w:p>
      <w:pPr>
        <w:spacing w:line="360" w:lineRule="auto"/>
        <w:ind w:firstLine="6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第三十七条　各子公司应加强危险废弃物管理，必须按照《济南热力集团有限公司危险废弃物管理制度》执行，不得遗弃、转运、倒卖。</w:t>
      </w:r>
    </w:p>
    <w:p>
      <w:pPr>
        <w:spacing w:line="360" w:lineRule="auto"/>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　　第三十八条  各子公司因工艺要求使用噪音大、振动大的设备和产生粉尘的设施时，应根据具体情况因地制宜，采用消音、隔音、吸音和防尘等措施，确保排放噪声及粉尘控制在规定限值以内，厂界符合要求。</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第三十九条  各子公司应对环保设施进行定期和不定期的检查，及时消除设备缺陷和隐患。环境保护设施运行出现故障时，要立即组织维修或更换，并在十五分钟内上报生产管理部。</w:t>
      </w:r>
    </w:p>
    <w:p>
      <w:pPr>
        <w:spacing w:line="360" w:lineRule="auto"/>
        <w:ind w:firstLine="602"/>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第四十条  环保设备、设施不得随意停用，环保设备启停必须上报生产管理部（调度中心）批准，未经生产管理部批准擅自停用的，各子公司负责人承担相应责任。</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第四十一条  各子公司加强环保药剂购进、使用、储存管理。根据自身情况储备环保药剂，并根据药剂的使用情况提前上报购进计划，不得因缺少环保药剂影响环保设施连续运行。运行结束后15日内，各子公司必须对剩余环保药剂做出妥善处理。</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第四十二条  各子公司需做好粉煤灰、废渣、石膏等一般固体废弃物的外运管理工作，保证运输及处置过程中不能出现二次污染。一般固体废弃物处置方式不得违反有关法律、法规要求，按照环评批复进行综合利用，清运、处置单位需具备综合利用资质或具备与有资质的第三方处置单位签订的合同，最终去向向甲方备案。</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第四十三条  运输煤、渣等物料的</w:t>
      </w:r>
      <w:r>
        <w:rPr>
          <w:rFonts w:hint="default" w:ascii="Times New Roman" w:hAnsi="Times New Roman" w:eastAsia="仿宋" w:cs="Times New Roman"/>
          <w:color w:val="auto"/>
          <w:sz w:val="28"/>
          <w:szCs w:val="28"/>
        </w:rPr>
        <w:fldChar w:fldCharType="begin"/>
      </w:r>
      <w:r>
        <w:rPr>
          <w:rFonts w:hint="default" w:ascii="Times New Roman" w:hAnsi="Times New Roman" w:eastAsia="仿宋" w:cs="Times New Roman"/>
          <w:color w:val="auto"/>
          <w:sz w:val="28"/>
          <w:szCs w:val="28"/>
        </w:rPr>
        <w:instrText xml:space="preserve"> HYPERLINK "http://jia.28xl.com/" \t "_blank" </w:instrText>
      </w:r>
      <w:r>
        <w:rPr>
          <w:rFonts w:hint="default" w:ascii="Times New Roman" w:hAnsi="Times New Roman" w:eastAsia="仿宋" w:cs="Times New Roman"/>
          <w:color w:val="auto"/>
          <w:sz w:val="28"/>
          <w:szCs w:val="28"/>
        </w:rPr>
        <w:fldChar w:fldCharType="separate"/>
      </w:r>
      <w:r>
        <w:rPr>
          <w:rFonts w:hint="default" w:ascii="Times New Roman" w:hAnsi="Times New Roman" w:eastAsia="仿宋" w:cs="Times New Roman"/>
          <w:color w:val="auto"/>
          <w:sz w:val="28"/>
          <w:szCs w:val="28"/>
        </w:rPr>
        <w:t>车辆</w:t>
      </w:r>
      <w:r>
        <w:rPr>
          <w:rFonts w:hint="default" w:ascii="Times New Roman" w:hAnsi="Times New Roman" w:eastAsia="仿宋" w:cs="Times New Roman"/>
          <w:color w:val="auto"/>
          <w:sz w:val="28"/>
          <w:szCs w:val="28"/>
        </w:rPr>
        <w:fldChar w:fldCharType="end"/>
      </w:r>
      <w:r>
        <w:rPr>
          <w:rFonts w:hint="default" w:ascii="Times New Roman" w:hAnsi="Times New Roman" w:eastAsia="仿宋" w:cs="Times New Roman"/>
          <w:color w:val="auto"/>
          <w:sz w:val="28"/>
          <w:szCs w:val="28"/>
        </w:rPr>
        <w:t>经过厂区道路时，需有防止装载物散落的措施。运输完毕，最晚于次日8：30之前将路面、地磅等处散落的物料清扫干净。封闭煤仓以外堆放的煤炭、煤渣、渣土等应及时覆盖，防止产生扬尘。</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第四十四条 厂区内道路平整、干净、畅通，路面无油污、尘土，道路两侧无杂草、落树枝。</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第四十五条  设备材料须临时堆放的，应按指定地点分类放置，整齐、稳固码放，使用完毕后堆放现场清理干净。</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第四十六条 各子公司在遇到上级环保部门检查时，需积极配合，并有熟悉环保工作的人员陪同检查，同时立即上报生产管理部或其他职能部门。</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第四十七条 各子公司新建管网施工、管网改造中，需改动市政污水管网时，在项目完成后，对污水管网进行原有恢复，确保不发生污水泄露；各子公司一次网、二次网进行管网泄水及管网冲洗时，须做好管网泄水方案，上报调度中心，经同意后方可进行泄水，并做好泄水过程记录，不允许将管网水直接排入自然水体。禁止向水体排放油类、酸液、碱液类物质，禁止私设暗管或者采取其他规避监管的方式排放废水。发生管网泄漏故障需紧急排水时，必须报公司调度中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第四十八条  接济南市重污染天气应急工作指挥部办公室通知后，各子公司应立即按照“重污染天气应急响应措施”执行，并做好各项记录。如执行不到位，负责人承担相应责任。</w:t>
      </w:r>
    </w:p>
    <w:p>
      <w:pPr>
        <w:shd w:val="solid" w:color="FFFFFF" w:fill="auto"/>
        <w:tabs>
          <w:tab w:val="center" w:pos="4153"/>
          <w:tab w:val="right" w:pos="8306"/>
        </w:tabs>
        <w:autoSpaceDN w:val="0"/>
        <w:spacing w:line="360" w:lineRule="auto"/>
        <w:jc w:val="center"/>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第五章 罚  则</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第四十九条  建设项目不符合国家法律法规及环评批复要求的，扣罚责任部门1000元。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第五十条  未按照建设项目环境影响评价信息公开机制方案执行的，扣罚责任部门1000元。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第五十一条  建设项目的主体工程完工后，其配套建设的环境保护设施未与主体工程同时投入试运行的，扣罚责任部门1000元。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第五十二条  施工工地及生产厂区未按要求采取围挡、有明显扬尘、物料散乱堆放、洒水记录不全或无湿法作业设施等情况，每项扣罚责任部门1000元。如造成环保处罚或媒体曝光，对集团公司产生不良影响的，处罚责任部门5000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第五十三条  未做好废气收集系统、除尘设施及其他无组织排放控制措施主要运行信息记录的，每次处罚责任部门200元；未采取道路硬化或洒水抑尘、防尘网覆盖的，每次扣罚责任部门500元；运输过程中未密闭运输的，扣罚责任部门500元。如造成污染事故导致环保处罚或媒体曝光，对集团公司产生不良影响的，另扣罚责任部门5000元，且责任人须承担相应法律责任。</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第五十四条  设备故障或运输过程中发生物料泄露等未做好无组织治理的，视情节严重每次处罚责任部门100-1000元。如造成污染事故导致环保处罚或媒体曝光，对集团公司产生不良影响的，另扣罚责任部门5000元，且责任人须承担相应法律责任。</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第五十五条  污染物超标排放，每次处罚500元（无原因在线监测污染物每小时/次），超过十五分钟未上报生产管理部的，每次处罚1000元，未及时处理监测网站工单或未及时上报自行监测信息及停产信息的，每次处罚1000元。未及时上传排污许可证网站季报、年报信息，检测数据的，每次扣罚1000元。在线监测污染物排放造成日均值超标的处罚2000元/次。如造成环保处罚或媒体曝光，对集团公司产生不良影响的，扣罚责任部门5000元。</w:t>
      </w:r>
    </w:p>
    <w:p>
      <w:pPr>
        <w:spacing w:line="360" w:lineRule="auto"/>
        <w:ind w:firstLine="560" w:firstLineChars="200"/>
        <w:rPr>
          <w:rFonts w:hint="default" w:ascii="Times New Roman" w:hAnsi="Times New Roman" w:cs="Times New Roman"/>
          <w:color w:val="auto"/>
          <w:sz w:val="28"/>
          <w:szCs w:val="28"/>
        </w:rPr>
      </w:pPr>
      <w:r>
        <w:rPr>
          <w:rFonts w:hint="default" w:ascii="Times New Roman" w:hAnsi="Times New Roman" w:eastAsia="仿宋" w:cs="Times New Roman"/>
          <w:color w:val="auto"/>
          <w:sz w:val="28"/>
          <w:szCs w:val="28"/>
        </w:rPr>
        <w:t>第五十六条 未按照一企一档</w:t>
      </w:r>
      <w:r>
        <w:rPr>
          <w:rFonts w:hint="default" w:ascii="Times New Roman" w:hAnsi="Times New Roman" w:cs="Times New Roman"/>
          <w:color w:val="auto"/>
          <w:sz w:val="28"/>
          <w:szCs w:val="28"/>
        </w:rPr>
        <w:t>环保管理制度要求执行的，</w:t>
      </w:r>
      <w:r>
        <w:rPr>
          <w:rFonts w:hint="default" w:ascii="Times New Roman" w:hAnsi="Times New Roman" w:eastAsia="仿宋" w:cs="Times New Roman"/>
          <w:color w:val="auto"/>
          <w:sz w:val="28"/>
          <w:szCs w:val="28"/>
        </w:rPr>
        <w:t>扣罚责任部门1000元。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第五十七条  私自偷排、停运环保设施的，每次扣罚责任部门2000元。被有关部门处罚或媒体曝光，对集团公司造成不良影响的，扣罚责任人5000元；造成污染事故的，责任人承担相应法律责任。</w:t>
      </w:r>
    </w:p>
    <w:p>
      <w:pPr>
        <w:spacing w:line="360" w:lineRule="auto"/>
        <w:ind w:firstLine="560" w:firstLineChars="200"/>
        <w:rPr>
          <w:rFonts w:hint="default" w:ascii="Times New Roman" w:hAnsi="Times New Roman" w:eastAsia="仿宋" w:cs="Times New Roman"/>
          <w:color w:val="auto"/>
          <w:sz w:val="28"/>
          <w:szCs w:val="28"/>
          <w:shd w:val="clear" w:color="auto" w:fill="FFFF00"/>
        </w:rPr>
      </w:pPr>
      <w:r>
        <w:rPr>
          <w:rFonts w:hint="default" w:ascii="Times New Roman" w:hAnsi="Times New Roman" w:eastAsia="仿宋" w:cs="Times New Roman"/>
          <w:color w:val="auto"/>
          <w:sz w:val="28"/>
          <w:szCs w:val="28"/>
        </w:rPr>
        <w:t>第五十八条  未按照集团公司危险废弃物管理制度执行的，按照危险废弃物管理制度相应条例进行处罚，造成重大污染事故的，部门负责人还需承担相应法律责任。</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第五十九条  设备巡检不到位、记录不完整的，每发生一次，扣罚责任部门200元；未及时消缺、或因药剂储备不足造成环保设施停运的情况，扣罚责任部门2000元。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第六十条  重大环保设备启停、切换、故障应按要求报集团公司调度中心，未按要求报集团公司调度中心，以及私自停用环保设施的，按《调度指令执行工作制度》处罚1000元。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第六十一条  重污染天气应急响应措施不到位、记录不全的，每次处罚责任部门500元，被有关部门处罚或媒体曝光，对集团公司造成不良影响的，扣罚责任部门5000元。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第六十二条  各子公司未根据整改通知单进行整改的，扣罚责任单位500元。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第六十三条  各职能部室对各子公司运行及施工项目检查不到位造成环保处罚或媒体曝光的，扣罚1000元。</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第六十四条 各子公司未与探伤检测单位签订合同，及探伤检测单位未向属地环保局进行报备的，每项扣罚责任部门1000元；探伤作业前未做开工前培训、未进行作业文件交底，未在记录中签字的，每项扣罚责任部门500元；未设置明显的安全警示标志，未设专人警戒，未设置屏蔽防护的，每项扣罚责任部门500元；因管理不到位，造成有关部门处罚或媒体曝光，对集团公司造成不良影响的，扣罚责任部门5000元，并承担上级部门的处罚金额；造成环境污染事故的，承担相应的法律责任。</w:t>
      </w:r>
    </w:p>
    <w:p>
      <w:pPr>
        <w:spacing w:line="360" w:lineRule="auto"/>
        <w:ind w:firstLine="560" w:firstLineChars="200"/>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第六十五条  各子公司在遇到上级环保部门检查/检测时，应及时汇报生产管理部；对于检查过程中发现和存在的问题，未及时上报生产管理部，扣罚责任部门1000元；受到上级有关部门处罚或媒体曝光，对集团公司造成不良影响的，扣罚责任部门5000元，并承担上级部门的处罚金额；造成环境污染事故的，承担相应的法律责任。</w:t>
      </w:r>
    </w:p>
    <w:p>
      <w:pPr>
        <w:widowControl/>
        <w:shd w:val="clear" w:color="auto" w:fill="FFFFFF"/>
        <w:spacing w:before="225" w:after="225"/>
        <w:ind w:firstLine="560"/>
        <w:jc w:val="left"/>
        <w:rPr>
          <w:rFonts w:hint="default" w:ascii="Times New Roman" w:hAnsi="Times New Roman" w:eastAsia="仿宋" w:cs="Times New Roman"/>
          <w:color w:val="auto"/>
          <w:sz w:val="28"/>
          <w:szCs w:val="28"/>
        </w:rPr>
      </w:pPr>
      <w:r>
        <w:rPr>
          <w:rFonts w:hint="default" w:ascii="Times New Roman" w:hAnsi="Times New Roman" w:eastAsia="仿宋" w:cs="Times New Roman"/>
          <w:color w:val="auto"/>
          <w:sz w:val="28"/>
          <w:szCs w:val="28"/>
        </w:rPr>
        <w:t>第六十六条 各子公司新建管网施工、管网改造项目完成后，未对原有污水管网及时恢复造成污水外泄的，扣罚责任部门2000元，并承担上级相关部门的处罚金额；一次网、二次网进行管网泄水及管网冲洗时，未制定管网泄水方案、未经调度中心同意进行泄水的，每项扣罚责任部门1000元；擅自排放油类、酸液、碱液类物质，以及私设暗管或者采取其他规避监管的方式排放废水的，扣罚责任部门5000元，并承担上级部门的处罚金额。</w:t>
      </w:r>
    </w:p>
    <w:p>
      <w:pPr>
        <w:spacing w:line="360" w:lineRule="auto"/>
        <w:jc w:val="center"/>
        <w:rPr>
          <w:rFonts w:hint="default" w:ascii="Times New Roman" w:hAnsi="Times New Roman" w:eastAsia="仿宋" w:cs="Times New Roman"/>
          <w:b/>
          <w:bCs/>
          <w:color w:val="auto"/>
          <w:sz w:val="28"/>
          <w:szCs w:val="28"/>
        </w:rPr>
      </w:pPr>
      <w:r>
        <w:rPr>
          <w:rFonts w:hint="default" w:ascii="Times New Roman" w:hAnsi="Times New Roman" w:eastAsia="仿宋" w:cs="Times New Roman"/>
          <w:b/>
          <w:bCs/>
          <w:color w:val="auto"/>
          <w:sz w:val="28"/>
          <w:szCs w:val="28"/>
        </w:rPr>
        <w:t>第六章   附 则</w:t>
      </w:r>
    </w:p>
    <w:p>
      <w:pPr>
        <w:spacing w:line="360" w:lineRule="auto"/>
        <w:ind w:firstLine="560" w:firstLineChars="200"/>
        <w:rPr>
          <w:rFonts w:hint="default" w:ascii="Times New Roman" w:hAnsi="Times New Roman" w:eastAsia="黑体" w:cs="Times New Roman"/>
          <w:color w:val="auto"/>
          <w:sz w:val="28"/>
          <w:szCs w:val="28"/>
        </w:rPr>
        <w:sectPr>
          <w:pgSz w:w="11906" w:h="16838"/>
          <w:pgMar w:top="720" w:right="720" w:bottom="720" w:left="720" w:header="567" w:footer="567" w:gutter="0"/>
          <w:pgBorders>
            <w:top w:val="none" w:sz="0" w:space="0"/>
            <w:left w:val="none" w:sz="0" w:space="0"/>
            <w:bottom w:val="none" w:sz="0" w:space="0"/>
            <w:right w:val="none" w:sz="0" w:space="0"/>
          </w:pgBorders>
          <w:pgNumType w:fmt="decimal"/>
          <w:cols w:space="720" w:num="1"/>
          <w:docGrid w:type="lines" w:linePitch="312" w:charSpace="0"/>
        </w:sectPr>
      </w:pPr>
      <w:r>
        <w:rPr>
          <w:rFonts w:hint="default" w:ascii="Times New Roman" w:hAnsi="Times New Roman" w:eastAsia="仿宋" w:cs="Times New Roman"/>
          <w:color w:val="auto"/>
          <w:sz w:val="28"/>
          <w:szCs w:val="28"/>
        </w:rPr>
        <w:t>第六十条  本制度由生产管理部负责解释，自下发之日起执行</w:t>
      </w:r>
    </w:p>
    <w:p>
      <w:pPr>
        <w:pStyle w:val="4"/>
        <w:bidi w:val="0"/>
        <w:rPr>
          <w:rFonts w:hint="eastAsia"/>
          <w:color w:val="auto"/>
          <w:lang w:val="en-US" w:eastAsia="zh-CN"/>
        </w:rPr>
      </w:pPr>
      <w:bookmarkStart w:id="1" w:name="_Toc13195"/>
      <w:r>
        <w:rPr>
          <w:rFonts w:hint="eastAsia"/>
          <w:color w:val="auto"/>
          <w:lang w:val="en-US" w:eastAsia="zh-CN"/>
        </w:rPr>
        <w:t>附件10：“三同时”验收登记表</w:t>
      </w:r>
      <w:bookmarkEnd w:id="1"/>
    </w:p>
    <w:p>
      <w:pPr>
        <w:spacing w:line="360" w:lineRule="auto"/>
        <w:jc w:val="center"/>
        <w:rPr>
          <w:rFonts w:hint="eastAsia" w:ascii="黑体" w:eastAsia="黑体"/>
          <w:b/>
          <w:color w:val="auto"/>
          <w:sz w:val="36"/>
          <w:szCs w:val="36"/>
        </w:rPr>
      </w:pPr>
      <w:r>
        <w:rPr>
          <w:rFonts w:hint="eastAsia" w:ascii="黑体" w:eastAsia="黑体"/>
          <w:b/>
          <w:color w:val="auto"/>
          <w:sz w:val="36"/>
          <w:szCs w:val="36"/>
        </w:rPr>
        <w:t>建设项目工程竣工环境保护“三同时”验收登记表</w:t>
      </w:r>
    </w:p>
    <w:p>
      <w:pPr>
        <w:ind w:firstLine="630" w:firstLineChars="300"/>
        <w:rPr>
          <w:rFonts w:hint="eastAsia" w:ascii="宋体" w:hAnsi="宋体" w:cs="宋体"/>
          <w:color w:val="auto"/>
          <w:szCs w:val="21"/>
        </w:rPr>
      </w:pPr>
      <w:r>
        <w:rPr>
          <w:rFonts w:hint="eastAsia" w:ascii="宋体" w:hAnsi="宋体" w:cs="宋体"/>
          <w:color w:val="auto"/>
          <w:szCs w:val="21"/>
        </w:rPr>
        <w:t>填表单位（盖章）：</w:t>
      </w:r>
      <w:r>
        <w:rPr>
          <w:rFonts w:hint="eastAsia" w:ascii="宋体" w:hAnsi="宋体" w:cs="宋体"/>
          <w:color w:val="auto"/>
          <w:szCs w:val="21"/>
          <w:lang w:eastAsia="zh-CN"/>
        </w:rPr>
        <w:t>济南热力集团有限</w:t>
      </w:r>
      <w:r>
        <w:rPr>
          <w:rFonts w:hint="eastAsia" w:ascii="宋体" w:hAnsi="宋体" w:cs="宋体"/>
          <w:color w:val="auto"/>
          <w:szCs w:val="21"/>
        </w:rPr>
        <w:t>公司                              填表人（签字）：                                       项目经办人（签字）：</w:t>
      </w:r>
    </w:p>
    <w:tbl>
      <w:tblPr>
        <w:tblStyle w:val="22"/>
        <w:tblW w:w="0" w:type="auto"/>
        <w:jc w:val="center"/>
        <w:shd w:val="clear" w:color="auto" w:fill="auto"/>
        <w:tblLayout w:type="fixed"/>
        <w:tblCellMar>
          <w:top w:w="0" w:type="dxa"/>
          <w:left w:w="108" w:type="dxa"/>
          <w:bottom w:w="0" w:type="dxa"/>
          <w:right w:w="108" w:type="dxa"/>
        </w:tblCellMar>
      </w:tblPr>
      <w:tblGrid>
        <w:gridCol w:w="485"/>
        <w:gridCol w:w="225"/>
        <w:gridCol w:w="965"/>
        <w:gridCol w:w="1150"/>
        <w:gridCol w:w="934"/>
        <w:gridCol w:w="152"/>
        <w:gridCol w:w="1638"/>
        <w:gridCol w:w="1410"/>
        <w:gridCol w:w="1380"/>
        <w:gridCol w:w="207"/>
        <w:gridCol w:w="933"/>
        <w:gridCol w:w="225"/>
        <w:gridCol w:w="1320"/>
        <w:gridCol w:w="1305"/>
        <w:gridCol w:w="2853"/>
        <w:gridCol w:w="987"/>
        <w:gridCol w:w="1113"/>
        <w:gridCol w:w="460"/>
        <w:gridCol w:w="1277"/>
        <w:gridCol w:w="593"/>
        <w:gridCol w:w="729"/>
      </w:tblGrid>
      <w:tr>
        <w:tblPrEx>
          <w:shd w:val="clear" w:color="auto" w:fill="auto"/>
          <w:tblCellMar>
            <w:top w:w="0" w:type="dxa"/>
            <w:left w:w="108" w:type="dxa"/>
            <w:bottom w:w="0" w:type="dxa"/>
            <w:right w:w="108" w:type="dxa"/>
          </w:tblCellMar>
        </w:tblPrEx>
        <w:trPr>
          <w:trHeight w:val="351" w:hRule="atLeast"/>
          <w:jc w:val="center"/>
        </w:trPr>
        <w:tc>
          <w:tcPr>
            <w:tcW w:w="485" w:type="dxa"/>
            <w:vMerge w:val="restart"/>
            <w:tcBorders>
              <w:top w:val="single" w:color="auto" w:sz="4" w:space="0"/>
              <w:left w:val="single" w:color="auto" w:sz="4" w:space="0"/>
              <w:right w:val="single" w:color="auto" w:sz="4" w:space="0"/>
            </w:tcBorders>
            <w:shd w:val="clear" w:color="auto" w:fill="auto"/>
            <w:noWrap w:val="0"/>
            <w:vAlign w:val="center"/>
          </w:tcPr>
          <w:p>
            <w:pPr>
              <w:pStyle w:val="70"/>
              <w:shd w:val="clear" w:color="auto" w:fill="auto"/>
              <w:spacing w:line="240" w:lineRule="auto"/>
              <w:jc w:val="left"/>
              <w:rPr>
                <w:rFonts w:hint="default" w:ascii="Times New Roman" w:hAnsi="Times New Roman" w:eastAsia="黑体" w:cs="Times New Roman"/>
                <w:b/>
                <w:bCs/>
                <w:color w:val="auto"/>
                <w:sz w:val="18"/>
                <w:szCs w:val="18"/>
              </w:rPr>
            </w:pPr>
            <w:r>
              <w:rPr>
                <w:rFonts w:hint="default" w:ascii="Times New Roman" w:hAnsi="Times New Roman" w:eastAsia="黑体" w:cs="Times New Roman"/>
                <w:b/>
                <w:bCs/>
                <w:color w:val="auto"/>
                <w:sz w:val="18"/>
                <w:szCs w:val="18"/>
              </w:rPr>
              <w:t>建设项目</w:t>
            </w: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项目名称</w:t>
            </w:r>
          </w:p>
        </w:tc>
        <w:tc>
          <w:tcPr>
            <w:tcW w:w="6654" w:type="dxa"/>
            <w:gridSpan w:val="7"/>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lang w:val="en-US" w:eastAsia="zh-CN"/>
              </w:rPr>
            </w:pPr>
            <w:r>
              <w:rPr>
                <w:rFonts w:hint="default" w:ascii="Times New Roman" w:hAnsi="Times New Roman" w:eastAsia="宋体" w:cs="Times New Roman"/>
                <w:color w:val="auto"/>
                <w:szCs w:val="21"/>
                <w:lang w:val="en-US" w:eastAsia="zh-CN"/>
              </w:rPr>
              <w:t>石热入济长距离输送供热工程（泰安段）</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项目代码</w:t>
            </w:r>
          </w:p>
        </w:tc>
        <w:tc>
          <w:tcPr>
            <w:tcW w:w="2853"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146 城市（镇）管网及</w:t>
            </w:r>
          </w:p>
          <w:p>
            <w:pPr>
              <w:jc w:val="center"/>
              <w:rPr>
                <w:rFonts w:hint="default" w:ascii="Times New Roman" w:hAnsi="Times New Roman" w:eastAsia="黑体" w:cs="Times New Roman"/>
                <w:b/>
                <w:bCs/>
                <w:color w:val="auto"/>
                <w:sz w:val="18"/>
                <w:szCs w:val="18"/>
              </w:rPr>
            </w:pPr>
            <w:r>
              <w:rPr>
                <w:rFonts w:hint="default" w:ascii="Times New Roman" w:hAnsi="Times New Roman" w:eastAsia="宋体" w:cs="Times New Roman"/>
                <w:color w:val="auto"/>
                <w:szCs w:val="21"/>
                <w:lang w:val="en-US" w:eastAsia="zh-CN"/>
              </w:rPr>
              <w:t>管廊建设</w:t>
            </w:r>
          </w:p>
        </w:tc>
        <w:tc>
          <w:tcPr>
            <w:tcW w:w="210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建设地点</w:t>
            </w:r>
          </w:p>
        </w:tc>
        <w:tc>
          <w:tcPr>
            <w:tcW w:w="3059"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山东省肥城市石横镇</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default" w:ascii="Times New Roman" w:hAnsi="Times New Roman" w:eastAsia="黑体" w:cs="Times New Roman"/>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行业类别（分类管理名录）</w:t>
            </w:r>
          </w:p>
        </w:tc>
        <w:tc>
          <w:tcPr>
            <w:tcW w:w="6654" w:type="dxa"/>
            <w:gridSpan w:val="7"/>
            <w:tcBorders>
              <w:top w:val="single" w:color="auto" w:sz="4" w:space="0"/>
              <w:left w:val="single" w:color="auto" w:sz="4" w:space="0"/>
            </w:tcBorders>
            <w:shd w:val="clear" w:color="auto" w:fill="auto"/>
            <w:noWrap w:val="0"/>
            <w:vAlign w:val="center"/>
          </w:tcPr>
          <w:p>
            <w:pPr>
              <w:widowControl/>
              <w:jc w:val="center"/>
              <w:textAlignment w:val="center"/>
              <w:rPr>
                <w:rFonts w:hint="default" w:ascii="Times New Roman" w:hAnsi="Times New Roman" w:eastAsia="黑体" w:cs="Times New Roman"/>
                <w:color w:val="auto"/>
                <w:sz w:val="18"/>
                <w:szCs w:val="18"/>
                <w:lang w:val="en-US" w:eastAsia="zh-CN"/>
              </w:rPr>
            </w:pPr>
            <w:r>
              <w:rPr>
                <w:rFonts w:hint="default" w:ascii="Times New Roman" w:hAnsi="Times New Roman" w:eastAsia="黑体" w:cs="Times New Roman"/>
                <w:color w:val="auto"/>
                <w:sz w:val="18"/>
                <w:szCs w:val="18"/>
                <w:lang w:val="en-US" w:eastAsia="zh-CN"/>
              </w:rPr>
              <w:t>/</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建设性质</w:t>
            </w:r>
          </w:p>
        </w:tc>
        <w:tc>
          <w:tcPr>
            <w:tcW w:w="8012" w:type="dxa"/>
            <w:gridSpan w:val="7"/>
            <w:tcBorders>
              <w:top w:val="single" w:color="auto" w:sz="4" w:space="0"/>
              <w:left w:val="single" w:color="auto" w:sz="4" w:space="0"/>
              <w:right w:val="single" w:color="auto" w:sz="4" w:space="0"/>
            </w:tcBorders>
            <w:shd w:val="clear" w:color="auto" w:fill="auto"/>
            <w:noWrap w:val="0"/>
            <w:vAlign w:val="bottom"/>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Fonts w:hint="default" w:ascii="Times New Roman" w:hAnsi="Times New Roman" w:eastAsia="黑体" w:cs="Times New Roman"/>
                <w:b/>
                <w:color w:val="auto"/>
                <w:sz w:val="18"/>
                <w:szCs w:val="18"/>
              </w:rPr>
              <w:fldChar w:fldCharType="begin"/>
            </w:r>
            <w:r>
              <w:rPr>
                <w:rFonts w:hint="default" w:ascii="Times New Roman" w:hAnsi="Times New Roman" w:eastAsia="黑体" w:cs="Times New Roman"/>
                <w:b/>
                <w:color w:val="auto"/>
                <w:sz w:val="18"/>
                <w:szCs w:val="18"/>
              </w:rPr>
              <w:instrText xml:space="preserve"> eq \o\ac(□)</w:instrText>
            </w:r>
            <w:r>
              <w:rPr>
                <w:rFonts w:hint="default" w:ascii="Times New Roman" w:hAnsi="Times New Roman" w:eastAsia="黑体" w:cs="Times New Roman"/>
                <w:b/>
                <w:color w:val="auto"/>
                <w:sz w:val="18"/>
                <w:szCs w:val="18"/>
              </w:rPr>
              <w:fldChar w:fldCharType="end"/>
            </w:r>
            <w:r>
              <w:rPr>
                <w:rStyle w:val="71"/>
                <w:rFonts w:hint="default" w:ascii="Times New Roman" w:hAnsi="Times New Roman" w:eastAsia="黑体" w:cs="Times New Roman"/>
                <w:b/>
                <w:bCs/>
                <w:color w:val="auto"/>
                <w:sz w:val="18"/>
                <w:szCs w:val="18"/>
              </w:rPr>
              <w:t>新建□改扩建</w:t>
            </w:r>
            <w:r>
              <w:rPr>
                <w:rStyle w:val="71"/>
                <w:rFonts w:hint="default" w:ascii="Times New Roman" w:hAnsi="Times New Roman" w:eastAsia="黑体" w:cs="Times New Roman"/>
                <w:b/>
                <w:bCs/>
                <w:color w:val="auto"/>
                <w:sz w:val="18"/>
                <w:szCs w:val="18"/>
              </w:rPr>
              <w:sym w:font="Wingdings 2" w:char="0052"/>
            </w:r>
            <w:r>
              <w:rPr>
                <w:rStyle w:val="71"/>
                <w:rFonts w:hint="default" w:ascii="Times New Roman" w:hAnsi="Times New Roman" w:eastAsia="黑体" w:cs="Times New Roman"/>
                <w:b/>
                <w:bCs/>
                <w:color w:val="auto"/>
                <w:sz w:val="18"/>
                <w:szCs w:val="18"/>
              </w:rPr>
              <w:t>技术改造</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default" w:ascii="Times New Roman" w:hAnsi="Times New Roman" w:eastAsia="黑体" w:cs="Times New Roman"/>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设计生产能力</w:t>
            </w:r>
          </w:p>
        </w:tc>
        <w:tc>
          <w:tcPr>
            <w:tcW w:w="6654" w:type="dxa"/>
            <w:gridSpan w:val="7"/>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vertAlign w:val="baseline"/>
                <w:lang w:val="en-US"/>
              </w:rPr>
            </w:pPr>
            <w:r>
              <w:rPr>
                <w:rFonts w:hint="default" w:ascii="Times New Roman" w:hAnsi="Times New Roman" w:eastAsia="宋体" w:cs="Times New Roman"/>
                <w:color w:val="auto"/>
                <w:szCs w:val="21"/>
                <w:lang w:val="en-US" w:eastAsia="zh-CN"/>
              </w:rPr>
              <w:t>建设管径2×DN1400供热管线，总长度4.5千米</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实际生产能力</w:t>
            </w:r>
          </w:p>
        </w:tc>
        <w:tc>
          <w:tcPr>
            <w:tcW w:w="2853" w:type="dxa"/>
            <w:tcBorders>
              <w:top w:val="single" w:color="auto" w:sz="4" w:space="0"/>
              <w:left w:val="single" w:color="auto" w:sz="4" w:space="0"/>
            </w:tcBorders>
            <w:shd w:val="clear" w:color="auto" w:fill="auto"/>
            <w:noWrap w:val="0"/>
            <w:vAlign w:val="top"/>
          </w:tcPr>
          <w:p>
            <w:pPr>
              <w:jc w:val="left"/>
              <w:rPr>
                <w:rFonts w:hint="default" w:ascii="Times New Roman" w:hAnsi="Times New Roman" w:eastAsia="黑体" w:cs="Times New Roman"/>
                <w:color w:val="auto"/>
                <w:sz w:val="18"/>
                <w:szCs w:val="18"/>
              </w:rPr>
            </w:pPr>
            <w:r>
              <w:rPr>
                <w:rFonts w:hint="default" w:ascii="Times New Roman" w:hAnsi="Times New Roman" w:eastAsia="宋体" w:cs="Times New Roman"/>
                <w:color w:val="auto"/>
                <w:szCs w:val="21"/>
                <w:lang w:val="en-US" w:eastAsia="zh-CN"/>
              </w:rPr>
              <w:t>建设管径2×DN1400供热管线，总长度4.5千米</w:t>
            </w:r>
          </w:p>
        </w:tc>
        <w:tc>
          <w:tcPr>
            <w:tcW w:w="210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环评单位</w:t>
            </w:r>
          </w:p>
        </w:tc>
        <w:tc>
          <w:tcPr>
            <w:tcW w:w="3059"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Cs w:val="21"/>
                <w:lang w:val="en-US" w:eastAsia="zh-CN"/>
              </w:rPr>
              <w:t>山东优纳特环境科技有限公司</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default" w:ascii="Times New Roman" w:hAnsi="Times New Roman" w:eastAsia="黑体" w:cs="Times New Roman"/>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环评文件审批机关</w:t>
            </w:r>
          </w:p>
        </w:tc>
        <w:tc>
          <w:tcPr>
            <w:tcW w:w="6654" w:type="dxa"/>
            <w:gridSpan w:val="7"/>
            <w:tcBorders>
              <w:top w:val="single" w:color="auto" w:sz="4" w:space="0"/>
              <w:left w:val="single" w:color="auto" w:sz="4" w:space="0"/>
            </w:tcBorders>
            <w:shd w:val="clear" w:color="auto" w:fill="auto"/>
            <w:noWrap w:val="0"/>
            <w:vAlign w:val="center"/>
          </w:tcPr>
          <w:p>
            <w:pPr>
              <w:jc w:val="center"/>
              <w:rPr>
                <w:rFonts w:hint="eastAsia"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szCs w:val="21"/>
                <w:lang w:val="en-US" w:eastAsia="zh-CN"/>
              </w:rPr>
              <w:t>泰安市生态环境局</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审批文号</w:t>
            </w:r>
          </w:p>
        </w:tc>
        <w:tc>
          <w:tcPr>
            <w:tcW w:w="2853"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泰肥环境审报告表</w:t>
            </w:r>
            <w:r>
              <w:rPr>
                <w:rFonts w:hint="default" w:ascii="Times New Roman" w:hAnsi="Times New Roman" w:eastAsia="宋体" w:cs="Times New Roman"/>
                <w:color w:val="auto"/>
                <w:szCs w:val="21"/>
                <w:lang w:val="en-US" w:eastAsia="zh-CN"/>
              </w:rPr>
              <w:t>〔2023〕</w:t>
            </w:r>
            <w:r>
              <w:rPr>
                <w:rFonts w:hint="eastAsia" w:ascii="Times New Roman" w:hAnsi="Times New Roman" w:eastAsia="宋体" w:cs="Times New Roman"/>
                <w:color w:val="auto"/>
                <w:szCs w:val="21"/>
                <w:lang w:val="en-US" w:eastAsia="zh-CN"/>
              </w:rPr>
              <w:t>31</w:t>
            </w:r>
            <w:r>
              <w:rPr>
                <w:rFonts w:hint="default" w:ascii="Times New Roman" w:hAnsi="Times New Roman" w:eastAsia="宋体" w:cs="Times New Roman"/>
                <w:color w:val="auto"/>
                <w:szCs w:val="21"/>
                <w:lang w:val="en-US" w:eastAsia="zh-CN"/>
              </w:rPr>
              <w:t>号</w:t>
            </w:r>
          </w:p>
        </w:tc>
        <w:tc>
          <w:tcPr>
            <w:tcW w:w="210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环评文件类型</w:t>
            </w:r>
          </w:p>
        </w:tc>
        <w:tc>
          <w:tcPr>
            <w:tcW w:w="3059"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环境影响报告表</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default" w:ascii="Times New Roman" w:hAnsi="Times New Roman" w:eastAsia="黑体" w:cs="Times New Roman"/>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开工曰期</w:t>
            </w:r>
          </w:p>
        </w:tc>
        <w:tc>
          <w:tcPr>
            <w:tcW w:w="6654" w:type="dxa"/>
            <w:gridSpan w:val="7"/>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Cs w:val="21"/>
                <w:lang w:val="en-US" w:eastAsia="zh-CN"/>
              </w:rPr>
              <w:t>20</w:t>
            </w:r>
            <w:r>
              <w:rPr>
                <w:rFonts w:hint="eastAsia" w:ascii="Times New Roman" w:hAnsi="Times New Roman" w:eastAsia="宋体" w:cs="Times New Roman"/>
                <w:color w:val="auto"/>
                <w:szCs w:val="21"/>
                <w:lang w:val="en-US" w:eastAsia="zh-CN"/>
              </w:rPr>
              <w:t>23</w:t>
            </w:r>
            <w:r>
              <w:rPr>
                <w:rFonts w:hint="default" w:ascii="Times New Roman" w:hAnsi="Times New Roman" w:eastAsia="宋体" w:cs="Times New Roman"/>
                <w:color w:val="auto"/>
                <w:szCs w:val="21"/>
                <w:lang w:val="en-US" w:eastAsia="zh-CN"/>
              </w:rPr>
              <w:t>年0</w:t>
            </w:r>
            <w:r>
              <w:rPr>
                <w:rFonts w:hint="eastAsia" w:cs="Times New Roman"/>
                <w:color w:val="auto"/>
                <w:szCs w:val="21"/>
                <w:lang w:val="en-US" w:eastAsia="zh-CN"/>
              </w:rPr>
              <w:t>5</w:t>
            </w:r>
            <w:r>
              <w:rPr>
                <w:rFonts w:hint="default" w:ascii="Times New Roman" w:hAnsi="Times New Roman" w:eastAsia="宋体" w:cs="Times New Roman"/>
                <w:color w:val="auto"/>
                <w:szCs w:val="21"/>
                <w:lang w:val="en-US" w:eastAsia="zh-CN"/>
              </w:rPr>
              <w:t>月</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竣工曰期</w:t>
            </w:r>
          </w:p>
        </w:tc>
        <w:tc>
          <w:tcPr>
            <w:tcW w:w="2853"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2014年</w:t>
            </w:r>
            <w:r>
              <w:rPr>
                <w:rFonts w:hint="eastAsia" w:cs="Times New Roman"/>
                <w:color w:val="auto"/>
                <w:szCs w:val="21"/>
                <w:lang w:val="en-US" w:eastAsia="zh-CN"/>
              </w:rPr>
              <w:t>09</w:t>
            </w:r>
            <w:r>
              <w:rPr>
                <w:rFonts w:hint="default" w:ascii="Times New Roman" w:hAnsi="Times New Roman" w:eastAsia="宋体" w:cs="Times New Roman"/>
                <w:color w:val="auto"/>
                <w:szCs w:val="21"/>
                <w:lang w:val="en-US" w:eastAsia="zh-CN"/>
              </w:rPr>
              <w:t>月</w:t>
            </w:r>
            <w:r>
              <w:rPr>
                <w:rFonts w:hint="eastAsia" w:cs="Times New Roman"/>
                <w:color w:val="auto"/>
                <w:szCs w:val="21"/>
                <w:lang w:val="en-US" w:eastAsia="zh-CN"/>
              </w:rPr>
              <w:t>30日</w:t>
            </w:r>
          </w:p>
        </w:tc>
        <w:tc>
          <w:tcPr>
            <w:tcW w:w="210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排污许可证申领时间</w:t>
            </w:r>
          </w:p>
        </w:tc>
        <w:tc>
          <w:tcPr>
            <w:tcW w:w="3059"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ascii="Times New Roman" w:hAnsi="Times New Roman" w:eastAsia="黑体" w:cs="Times New Roman"/>
                <w:b/>
                <w:bCs/>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default" w:ascii="Times New Roman" w:hAnsi="Times New Roman" w:eastAsia="黑体" w:cs="Times New Roman"/>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highlight w:val="none"/>
              </w:rPr>
            </w:pPr>
            <w:r>
              <w:rPr>
                <w:rStyle w:val="71"/>
                <w:rFonts w:hint="default" w:ascii="Times New Roman" w:hAnsi="Times New Roman" w:eastAsia="黑体" w:cs="Times New Roman"/>
                <w:b/>
                <w:bCs/>
                <w:color w:val="auto"/>
                <w:sz w:val="18"/>
                <w:szCs w:val="18"/>
                <w:highlight w:val="none"/>
              </w:rPr>
              <w:t>环保设施设计单位</w:t>
            </w:r>
          </w:p>
        </w:tc>
        <w:tc>
          <w:tcPr>
            <w:tcW w:w="6654" w:type="dxa"/>
            <w:gridSpan w:val="7"/>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highlight w:val="none"/>
                <w:lang w:val="en-US" w:eastAsia="zh-CN"/>
              </w:rPr>
            </w:pPr>
            <w:r>
              <w:rPr>
                <w:rFonts w:hint="default" w:ascii="Times New Roman" w:hAnsi="Times New Roman" w:eastAsia="黑体" w:cs="Times New Roman"/>
                <w:b w:val="0"/>
                <w:bCs w:val="0"/>
                <w:color w:val="auto"/>
                <w:sz w:val="18"/>
                <w:szCs w:val="18"/>
                <w:lang w:val="en-US" w:eastAsia="zh-CN"/>
              </w:rPr>
              <w:t>/</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highlight w:val="none"/>
              </w:rPr>
            </w:pPr>
            <w:r>
              <w:rPr>
                <w:rStyle w:val="71"/>
                <w:rFonts w:hint="default" w:ascii="Times New Roman" w:hAnsi="Times New Roman" w:eastAsia="黑体" w:cs="Times New Roman"/>
                <w:b/>
                <w:bCs/>
                <w:color w:val="auto"/>
                <w:sz w:val="18"/>
                <w:szCs w:val="18"/>
                <w:highlight w:val="none"/>
              </w:rPr>
              <w:t>环保设施施工单位</w:t>
            </w:r>
          </w:p>
        </w:tc>
        <w:tc>
          <w:tcPr>
            <w:tcW w:w="2853" w:type="dxa"/>
            <w:tcBorders>
              <w:top w:val="single" w:color="auto" w:sz="4" w:space="0"/>
              <w:left w:val="single" w:color="auto" w:sz="4" w:space="0"/>
            </w:tcBorders>
            <w:shd w:val="clear" w:color="auto" w:fill="auto"/>
            <w:noWrap w:val="0"/>
            <w:vAlign w:val="center"/>
          </w:tcPr>
          <w:p>
            <w:pPr>
              <w:jc w:val="left"/>
              <w:rPr>
                <w:rFonts w:hint="default" w:ascii="Times New Roman" w:hAnsi="Times New Roman" w:eastAsia="宋体" w:cs="Times New Roman"/>
                <w:color w:val="auto"/>
                <w:szCs w:val="21"/>
                <w:lang w:val="en-US" w:eastAsia="zh-CN"/>
              </w:rPr>
            </w:pPr>
            <w:r>
              <w:rPr>
                <w:rFonts w:hint="eastAsia" w:ascii="宋体" w:hAnsi="宋体" w:cs="宋体"/>
                <w:color w:val="auto"/>
                <w:szCs w:val="21"/>
                <w:lang w:val="en-US" w:eastAsia="zh-CN"/>
              </w:rPr>
              <w:t>济南能源工程集团有限公司</w:t>
            </w:r>
          </w:p>
        </w:tc>
        <w:tc>
          <w:tcPr>
            <w:tcW w:w="210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本工程排污许可证编号</w:t>
            </w:r>
          </w:p>
        </w:tc>
        <w:tc>
          <w:tcPr>
            <w:tcW w:w="3059"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default" w:ascii="Times New Roman" w:hAnsi="Times New Roman" w:eastAsia="黑体" w:cs="Times New Roman"/>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验收单位</w:t>
            </w:r>
          </w:p>
        </w:tc>
        <w:tc>
          <w:tcPr>
            <w:tcW w:w="6654" w:type="dxa"/>
            <w:gridSpan w:val="7"/>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山东蓝昕环保测试分析</w:t>
            </w:r>
            <w:r>
              <w:rPr>
                <w:rFonts w:hint="default" w:ascii="Times New Roman" w:hAnsi="Times New Roman" w:eastAsia="宋体" w:cs="Times New Roman"/>
                <w:color w:val="auto"/>
                <w:szCs w:val="21"/>
                <w:lang w:val="en-US" w:eastAsia="zh-CN"/>
              </w:rPr>
              <w:t>有限公司</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环保设施监测单位</w:t>
            </w:r>
          </w:p>
        </w:tc>
        <w:tc>
          <w:tcPr>
            <w:tcW w:w="2853"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c>
          <w:tcPr>
            <w:tcW w:w="210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验收监测时工况</w:t>
            </w:r>
          </w:p>
        </w:tc>
        <w:tc>
          <w:tcPr>
            <w:tcW w:w="3059"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default" w:ascii="Times New Roman" w:hAnsi="Times New Roman" w:eastAsia="黑体" w:cs="Times New Roman"/>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投资总概算（万元</w:t>
            </w:r>
            <w:r>
              <w:rPr>
                <w:rStyle w:val="71"/>
                <w:rFonts w:hint="default" w:ascii="Times New Roman" w:hAnsi="Times New Roman" w:eastAsia="黑体" w:cs="Times New Roman"/>
                <w:b/>
                <w:bCs/>
                <w:color w:val="auto"/>
                <w:sz w:val="18"/>
                <w:szCs w:val="18"/>
                <w:lang w:val="en-US" w:eastAsia="en-US" w:bidi="en-US"/>
              </w:rPr>
              <w:t>）</w:t>
            </w:r>
          </w:p>
        </w:tc>
        <w:tc>
          <w:tcPr>
            <w:tcW w:w="6654" w:type="dxa"/>
            <w:gridSpan w:val="7"/>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21168</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环保投资总概算（万元</w:t>
            </w:r>
            <w:r>
              <w:rPr>
                <w:rStyle w:val="71"/>
                <w:rFonts w:hint="default" w:ascii="Times New Roman" w:hAnsi="Times New Roman" w:eastAsia="黑体" w:cs="Times New Roman"/>
                <w:b/>
                <w:bCs/>
                <w:color w:val="auto"/>
                <w:sz w:val="18"/>
                <w:szCs w:val="18"/>
                <w:lang w:val="en-US" w:eastAsia="zh-CN" w:bidi="en-US"/>
              </w:rPr>
              <w:t>）</w:t>
            </w:r>
          </w:p>
        </w:tc>
        <w:tc>
          <w:tcPr>
            <w:tcW w:w="2853" w:type="dxa"/>
            <w:tcBorders>
              <w:top w:val="single" w:color="auto" w:sz="4" w:space="0"/>
              <w:left w:val="single" w:color="auto" w:sz="4" w:space="0"/>
            </w:tcBorders>
            <w:shd w:val="clear" w:color="auto" w:fill="auto"/>
            <w:noWrap w:val="0"/>
            <w:vAlign w:val="center"/>
          </w:tcPr>
          <w:p>
            <w:pPr>
              <w:jc w:val="center"/>
              <w:rPr>
                <w:rFonts w:hint="default" w:cs="Times New Roman"/>
                <w:color w:val="auto"/>
                <w:szCs w:val="21"/>
                <w:lang w:val="en-US" w:eastAsia="zh-CN"/>
              </w:rPr>
            </w:pPr>
            <w:r>
              <w:rPr>
                <w:rFonts w:hint="eastAsia" w:cs="Times New Roman"/>
                <w:color w:val="auto"/>
                <w:szCs w:val="21"/>
                <w:lang w:val="en-US" w:eastAsia="zh-CN"/>
              </w:rPr>
              <w:t>250</w:t>
            </w:r>
          </w:p>
        </w:tc>
        <w:tc>
          <w:tcPr>
            <w:tcW w:w="210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所占比例</w:t>
            </w:r>
            <w:r>
              <w:rPr>
                <w:rStyle w:val="71"/>
                <w:rFonts w:hint="default" w:ascii="Times New Roman" w:hAnsi="Times New Roman" w:eastAsia="黑体" w:cs="Times New Roman"/>
                <w:b/>
                <w:bCs/>
                <w:color w:val="auto"/>
                <w:sz w:val="18"/>
                <w:szCs w:val="18"/>
                <w:lang w:val="en-US" w:eastAsia="en-US" w:bidi="en-US"/>
              </w:rPr>
              <w:t>（</w:t>
            </w:r>
            <w:r>
              <w:rPr>
                <w:rStyle w:val="71"/>
                <w:rFonts w:hint="default" w:ascii="Times New Roman" w:hAnsi="Times New Roman" w:eastAsia="黑体" w:cs="Times New Roman"/>
                <w:b/>
                <w:bCs/>
                <w:color w:val="auto"/>
                <w:sz w:val="18"/>
                <w:szCs w:val="18"/>
              </w:rPr>
              <w:t xml:space="preserve">％ </w:t>
            </w:r>
            <w:r>
              <w:rPr>
                <w:rStyle w:val="71"/>
                <w:rFonts w:hint="default" w:ascii="Times New Roman" w:hAnsi="Times New Roman" w:eastAsia="黑体" w:cs="Times New Roman"/>
                <w:b/>
                <w:bCs/>
                <w:color w:val="auto"/>
                <w:sz w:val="18"/>
                <w:szCs w:val="18"/>
                <w:lang w:val="en-US" w:eastAsia="en-US" w:bidi="en-US"/>
              </w:rPr>
              <w:t>)</w:t>
            </w:r>
          </w:p>
        </w:tc>
        <w:tc>
          <w:tcPr>
            <w:tcW w:w="3059"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cs="Times New Roman"/>
                <w:color w:val="auto"/>
                <w:szCs w:val="21"/>
                <w:lang w:val="en-US" w:eastAsia="zh-CN"/>
              </w:rPr>
            </w:pPr>
            <w:r>
              <w:rPr>
                <w:rFonts w:hint="eastAsia" w:cs="Times New Roman"/>
                <w:color w:val="auto"/>
                <w:szCs w:val="21"/>
                <w:lang w:val="en-US" w:eastAsia="zh-CN"/>
              </w:rPr>
              <w:t>1.2</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default" w:ascii="Times New Roman" w:hAnsi="Times New Roman" w:eastAsia="黑体" w:cs="Times New Roman"/>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实际总投资（万元</w:t>
            </w:r>
            <w:r>
              <w:rPr>
                <w:rStyle w:val="71"/>
                <w:rFonts w:hint="default" w:ascii="Times New Roman" w:hAnsi="Times New Roman" w:eastAsia="黑体" w:cs="Times New Roman"/>
                <w:b/>
                <w:bCs/>
                <w:color w:val="auto"/>
                <w:sz w:val="18"/>
                <w:szCs w:val="18"/>
                <w:lang w:val="en-US" w:eastAsia="en-US" w:bidi="en-US"/>
              </w:rPr>
              <w:t>）</w:t>
            </w:r>
          </w:p>
        </w:tc>
        <w:tc>
          <w:tcPr>
            <w:tcW w:w="6654" w:type="dxa"/>
            <w:gridSpan w:val="7"/>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21168</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实际环保投资（万元</w:t>
            </w:r>
            <w:r>
              <w:rPr>
                <w:rStyle w:val="71"/>
                <w:rFonts w:hint="default" w:ascii="Times New Roman" w:hAnsi="Times New Roman" w:eastAsia="黑体" w:cs="Times New Roman"/>
                <w:b/>
                <w:bCs/>
                <w:color w:val="auto"/>
                <w:sz w:val="18"/>
                <w:szCs w:val="18"/>
                <w:lang w:val="en-US" w:eastAsia="zh-CN" w:bidi="en-US"/>
              </w:rPr>
              <w:t>）</w:t>
            </w:r>
          </w:p>
        </w:tc>
        <w:tc>
          <w:tcPr>
            <w:tcW w:w="2853" w:type="dxa"/>
            <w:tcBorders>
              <w:top w:val="single" w:color="auto" w:sz="4" w:space="0"/>
              <w:left w:val="single" w:color="auto" w:sz="4" w:space="0"/>
            </w:tcBorders>
            <w:shd w:val="clear" w:color="auto" w:fill="auto"/>
            <w:noWrap w:val="0"/>
            <w:vAlign w:val="center"/>
          </w:tcPr>
          <w:p>
            <w:pPr>
              <w:jc w:val="center"/>
              <w:rPr>
                <w:rFonts w:hint="default" w:cs="Times New Roman"/>
                <w:color w:val="auto"/>
                <w:szCs w:val="21"/>
                <w:lang w:val="en-US" w:eastAsia="zh-CN"/>
              </w:rPr>
            </w:pPr>
            <w:r>
              <w:rPr>
                <w:rFonts w:hint="eastAsia" w:cs="Times New Roman"/>
                <w:color w:val="auto"/>
                <w:szCs w:val="21"/>
                <w:lang w:val="en-US" w:eastAsia="zh-CN"/>
              </w:rPr>
              <w:t>250</w:t>
            </w:r>
          </w:p>
        </w:tc>
        <w:tc>
          <w:tcPr>
            <w:tcW w:w="210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所占比例</w:t>
            </w:r>
            <w:r>
              <w:rPr>
                <w:rStyle w:val="71"/>
                <w:rFonts w:hint="default" w:ascii="Times New Roman" w:hAnsi="Times New Roman" w:eastAsia="黑体" w:cs="Times New Roman"/>
                <w:b/>
                <w:bCs/>
                <w:color w:val="auto"/>
                <w:sz w:val="18"/>
                <w:szCs w:val="18"/>
                <w:lang w:val="en-US" w:eastAsia="en-US" w:bidi="en-US"/>
              </w:rPr>
              <w:t>（</w:t>
            </w:r>
            <w:r>
              <w:rPr>
                <w:rStyle w:val="71"/>
                <w:rFonts w:hint="default" w:ascii="Times New Roman" w:hAnsi="Times New Roman" w:eastAsia="黑体" w:cs="Times New Roman"/>
                <w:b/>
                <w:bCs/>
                <w:color w:val="auto"/>
                <w:sz w:val="18"/>
                <w:szCs w:val="18"/>
              </w:rPr>
              <w:t xml:space="preserve">％ </w:t>
            </w:r>
            <w:r>
              <w:rPr>
                <w:rStyle w:val="71"/>
                <w:rFonts w:hint="default" w:ascii="Times New Roman" w:hAnsi="Times New Roman" w:eastAsia="黑体" w:cs="Times New Roman"/>
                <w:b/>
                <w:bCs/>
                <w:color w:val="auto"/>
                <w:sz w:val="18"/>
                <w:szCs w:val="18"/>
                <w:lang w:val="en-US" w:eastAsia="en-US" w:bidi="en-US"/>
              </w:rPr>
              <w:t>)</w:t>
            </w:r>
          </w:p>
        </w:tc>
        <w:tc>
          <w:tcPr>
            <w:tcW w:w="3059"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cs="Times New Roman"/>
                <w:color w:val="auto"/>
                <w:szCs w:val="21"/>
                <w:lang w:val="en-US" w:eastAsia="zh-CN"/>
              </w:rPr>
            </w:pPr>
            <w:r>
              <w:rPr>
                <w:rFonts w:hint="eastAsia" w:cs="Times New Roman"/>
                <w:color w:val="auto"/>
                <w:szCs w:val="21"/>
                <w:lang w:val="en-US" w:eastAsia="zh-CN"/>
              </w:rPr>
              <w:t>1.2</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default" w:ascii="Times New Roman" w:hAnsi="Times New Roman" w:eastAsia="黑体" w:cs="Times New Roman"/>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废水治理（万元</w:t>
            </w:r>
            <w:r>
              <w:rPr>
                <w:rStyle w:val="71"/>
                <w:rFonts w:hint="default" w:ascii="Times New Roman" w:hAnsi="Times New Roman" w:eastAsia="黑体" w:cs="Times New Roman"/>
                <w:b/>
                <w:bCs/>
                <w:color w:val="auto"/>
                <w:sz w:val="18"/>
                <w:szCs w:val="18"/>
                <w:lang w:val="en-US" w:eastAsia="en-US"/>
              </w:rPr>
              <w:t>）</w:t>
            </w:r>
          </w:p>
        </w:tc>
        <w:tc>
          <w:tcPr>
            <w:tcW w:w="934"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lang w:val="en-US" w:eastAsia="zh-CN"/>
              </w:rPr>
            </w:pPr>
            <w:r>
              <w:rPr>
                <w:rFonts w:hint="default" w:ascii="Times New Roman" w:hAnsi="Times New Roman" w:eastAsia="宋体" w:cs="Times New Roman"/>
                <w:color w:val="auto"/>
                <w:kern w:val="2"/>
                <w:sz w:val="18"/>
                <w:szCs w:val="18"/>
                <w:u w:val="none"/>
                <w:lang w:val="en-US" w:eastAsia="zh-CN" w:bidi="ar-SA"/>
              </w:rPr>
              <w:t>45</w:t>
            </w:r>
          </w:p>
        </w:tc>
        <w:tc>
          <w:tcPr>
            <w:tcW w:w="179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废气治理（万元</w:t>
            </w:r>
            <w:r>
              <w:rPr>
                <w:rStyle w:val="71"/>
                <w:rFonts w:hint="default" w:ascii="Times New Roman" w:hAnsi="Times New Roman" w:eastAsia="黑体" w:cs="Times New Roman"/>
                <w:b/>
                <w:bCs/>
                <w:color w:val="auto"/>
                <w:sz w:val="18"/>
                <w:szCs w:val="18"/>
                <w:lang w:val="en-US" w:eastAsia="en-US"/>
              </w:rPr>
              <w:t>）</w:t>
            </w:r>
          </w:p>
        </w:tc>
        <w:tc>
          <w:tcPr>
            <w:tcW w:w="141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lang w:val="en-US" w:eastAsia="zh-CN"/>
              </w:rPr>
            </w:pPr>
            <w:r>
              <w:rPr>
                <w:rFonts w:hint="eastAsia" w:ascii="Times New Roman" w:hAnsi="Times New Roman" w:eastAsia="宋体" w:cs="Times New Roman"/>
                <w:color w:val="auto"/>
                <w:kern w:val="2"/>
                <w:sz w:val="21"/>
                <w:szCs w:val="21"/>
                <w:u w:val="none"/>
                <w:lang w:val="en-US" w:eastAsia="zh-CN" w:bidi="ar-SA"/>
              </w:rPr>
              <w:t>45</w:t>
            </w:r>
          </w:p>
        </w:tc>
        <w:tc>
          <w:tcPr>
            <w:tcW w:w="1587" w:type="dxa"/>
            <w:gridSpan w:val="2"/>
            <w:tcBorders>
              <w:top w:val="single" w:color="auto" w:sz="4" w:space="0"/>
              <w:left w:val="single" w:color="auto" w:sz="4" w:space="0"/>
              <w:righ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lang w:eastAsia="zh-CN"/>
              </w:rPr>
              <w:t>噪</w:t>
            </w:r>
            <w:r>
              <w:rPr>
                <w:rStyle w:val="71"/>
                <w:rFonts w:hint="default" w:ascii="Times New Roman" w:hAnsi="Times New Roman" w:eastAsia="黑体" w:cs="Times New Roman"/>
                <w:b/>
                <w:bCs/>
                <w:color w:val="auto"/>
                <w:sz w:val="18"/>
                <w:szCs w:val="18"/>
              </w:rPr>
              <w:t>声治理（万元</w:t>
            </w:r>
            <w:r>
              <w:rPr>
                <w:rStyle w:val="71"/>
                <w:rFonts w:hint="default" w:ascii="Times New Roman" w:hAnsi="Times New Roman" w:eastAsia="黑体" w:cs="Times New Roman"/>
                <w:b/>
                <w:bCs/>
                <w:color w:val="auto"/>
                <w:sz w:val="18"/>
                <w:szCs w:val="18"/>
                <w:lang w:val="en-US" w:eastAsia="en-US"/>
              </w:rPr>
              <w:t>）</w:t>
            </w:r>
          </w:p>
        </w:tc>
        <w:tc>
          <w:tcPr>
            <w:tcW w:w="933"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lang w:val="en-US" w:eastAsia="zh-CN"/>
              </w:rPr>
            </w:pPr>
            <w:r>
              <w:rPr>
                <w:rFonts w:hint="eastAsia" w:ascii="Times New Roman" w:hAnsi="Times New Roman" w:eastAsia="宋体" w:cs="Times New Roman"/>
                <w:color w:val="auto"/>
                <w:kern w:val="2"/>
                <w:sz w:val="21"/>
                <w:szCs w:val="21"/>
                <w:u w:val="none"/>
                <w:lang w:val="en-US" w:eastAsia="zh-CN" w:bidi="ar-SA"/>
              </w:rPr>
              <w:t>35</w:t>
            </w: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固体废物治理（万元</w:t>
            </w:r>
            <w:r>
              <w:rPr>
                <w:rStyle w:val="71"/>
                <w:rFonts w:hint="default" w:ascii="Times New Roman" w:hAnsi="Times New Roman" w:eastAsia="黑体" w:cs="Times New Roman"/>
                <w:b/>
                <w:bCs/>
                <w:color w:val="auto"/>
                <w:sz w:val="18"/>
                <w:szCs w:val="18"/>
                <w:lang w:val="en-US" w:eastAsia="zh-CN" w:bidi="en-US"/>
              </w:rPr>
              <w:t>）</w:t>
            </w:r>
          </w:p>
        </w:tc>
        <w:tc>
          <w:tcPr>
            <w:tcW w:w="2853" w:type="dxa"/>
            <w:tcBorders>
              <w:top w:val="single" w:color="auto" w:sz="4" w:space="0"/>
              <w:left w:val="single" w:color="auto" w:sz="4" w:space="0"/>
            </w:tcBorders>
            <w:shd w:val="clear" w:color="auto" w:fill="auto"/>
            <w:noWrap w:val="0"/>
            <w:vAlign w:val="center"/>
          </w:tcPr>
          <w:p>
            <w:pPr>
              <w:spacing w:line="240" w:lineRule="auto"/>
              <w:jc w:val="center"/>
              <w:rPr>
                <w:rFonts w:hint="default" w:ascii="Times New Roman" w:hAnsi="Times New Roman" w:eastAsia="宋体" w:cs="Times New Roman"/>
                <w:color w:val="auto"/>
                <w:sz w:val="18"/>
                <w:szCs w:val="18"/>
                <w:lang w:val="en-US" w:eastAsia="zh-CN"/>
              </w:rPr>
            </w:pPr>
            <w:r>
              <w:rPr>
                <w:rFonts w:hint="eastAsia" w:ascii="Times New Roman" w:hAnsi="Times New Roman" w:eastAsia="宋体" w:cs="Times New Roman"/>
                <w:color w:val="auto"/>
                <w:kern w:val="2"/>
                <w:sz w:val="21"/>
                <w:szCs w:val="21"/>
                <w:u w:val="none"/>
                <w:lang w:val="en-US" w:eastAsia="zh-CN" w:bidi="ar-SA"/>
              </w:rPr>
              <w:t>5</w:t>
            </w:r>
          </w:p>
        </w:tc>
        <w:tc>
          <w:tcPr>
            <w:tcW w:w="210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绿化及生态（万元</w:t>
            </w:r>
            <w:r>
              <w:rPr>
                <w:rStyle w:val="71"/>
                <w:rFonts w:hint="default" w:ascii="Times New Roman" w:hAnsi="Times New Roman" w:eastAsia="黑体" w:cs="Times New Roman"/>
                <w:b/>
                <w:bCs/>
                <w:color w:val="auto"/>
                <w:sz w:val="18"/>
                <w:szCs w:val="18"/>
                <w:lang w:val="en-US" w:eastAsia="en-US" w:bidi="en-US"/>
              </w:rPr>
              <w:t>）</w:t>
            </w:r>
          </w:p>
        </w:tc>
        <w:tc>
          <w:tcPr>
            <w:tcW w:w="460" w:type="dxa"/>
            <w:tcBorders>
              <w:top w:val="single" w:color="auto" w:sz="4" w:space="0"/>
              <w:left w:val="single" w:color="auto" w:sz="4" w:space="0"/>
            </w:tcBorders>
            <w:shd w:val="clear" w:color="auto" w:fill="auto"/>
            <w:noWrap w:val="0"/>
            <w:vAlign w:val="center"/>
          </w:tcPr>
          <w:p>
            <w:pPr>
              <w:jc w:val="center"/>
              <w:rPr>
                <w:rFonts w:hint="default" w:cs="Times New Roman"/>
                <w:color w:val="auto"/>
                <w:szCs w:val="21"/>
                <w:lang w:val="en-US" w:eastAsia="zh-CN"/>
              </w:rPr>
            </w:pPr>
            <w:r>
              <w:rPr>
                <w:rFonts w:hint="eastAsia" w:cs="Times New Roman"/>
                <w:color w:val="auto"/>
                <w:szCs w:val="21"/>
                <w:lang w:val="en-US" w:eastAsia="zh-CN"/>
              </w:rPr>
              <w:t>50</w:t>
            </w:r>
          </w:p>
        </w:tc>
        <w:tc>
          <w:tcPr>
            <w:tcW w:w="1870" w:type="dxa"/>
            <w:gridSpan w:val="2"/>
            <w:tcBorders>
              <w:top w:val="single" w:color="auto" w:sz="4" w:space="0"/>
              <w:left w:val="single" w:color="auto" w:sz="4" w:space="0"/>
            </w:tcBorders>
            <w:shd w:val="clear" w:color="auto" w:fill="auto"/>
            <w:noWrap w:val="0"/>
            <w:vAlign w:val="center"/>
          </w:tcPr>
          <w:p>
            <w:pPr>
              <w:jc w:val="center"/>
              <w:rPr>
                <w:rFonts w:hint="default" w:cs="Times New Roman"/>
                <w:color w:val="auto"/>
                <w:szCs w:val="21"/>
                <w:lang w:val="en-US" w:eastAsia="zh-CN"/>
              </w:rPr>
            </w:pPr>
            <w:r>
              <w:rPr>
                <w:rStyle w:val="71"/>
                <w:rFonts w:hint="default" w:ascii="Times New Roman" w:hAnsi="Times New Roman" w:eastAsia="黑体" w:cs="Times New Roman"/>
                <w:b/>
                <w:bCs/>
                <w:color w:val="auto"/>
                <w:kern w:val="2"/>
                <w:sz w:val="18"/>
                <w:szCs w:val="18"/>
                <w:lang w:val="en-US" w:eastAsia="zh-CN"/>
              </w:rPr>
              <w:t>其他（万元</w:t>
            </w:r>
            <w:r>
              <w:rPr>
                <w:rStyle w:val="71"/>
                <w:rFonts w:hint="default" w:ascii="Times New Roman" w:hAnsi="Times New Roman" w:eastAsia="黑体" w:cs="Times New Roman"/>
                <w:b/>
                <w:bCs/>
                <w:color w:val="auto"/>
                <w:kern w:val="2"/>
                <w:sz w:val="18"/>
                <w:szCs w:val="18"/>
                <w:lang w:val="en-US" w:eastAsia="en-US"/>
              </w:rPr>
              <w:t>）</w:t>
            </w:r>
          </w:p>
        </w:tc>
        <w:tc>
          <w:tcPr>
            <w:tcW w:w="729" w:type="dxa"/>
            <w:tcBorders>
              <w:top w:val="single" w:color="auto" w:sz="4" w:space="0"/>
              <w:left w:val="single" w:color="auto" w:sz="4" w:space="0"/>
              <w:righ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lang w:val="en-US" w:eastAsia="zh-CN"/>
              </w:rPr>
            </w:pPr>
            <w:r>
              <w:rPr>
                <w:rFonts w:hint="eastAsia" w:ascii="Times New Roman" w:hAnsi="Times New Roman" w:eastAsia="宋体" w:cs="Times New Roman"/>
                <w:color w:val="auto"/>
                <w:kern w:val="2"/>
                <w:sz w:val="21"/>
                <w:szCs w:val="21"/>
                <w:u w:val="none"/>
                <w:lang w:val="en-US" w:eastAsia="zh-CN" w:bidi="ar-SA"/>
              </w:rPr>
              <w:t>65</w:t>
            </w:r>
          </w:p>
        </w:tc>
      </w:tr>
      <w:tr>
        <w:tblPrEx>
          <w:shd w:val="clear" w:color="auto" w:fill="auto"/>
          <w:tblCellMar>
            <w:top w:w="0" w:type="dxa"/>
            <w:left w:w="108" w:type="dxa"/>
            <w:bottom w:w="0" w:type="dxa"/>
            <w:right w:w="108" w:type="dxa"/>
          </w:tblCellMar>
        </w:tblPrEx>
        <w:trPr>
          <w:trHeight w:val="351" w:hRule="atLeast"/>
          <w:jc w:val="center"/>
        </w:trPr>
        <w:tc>
          <w:tcPr>
            <w:tcW w:w="485" w:type="dxa"/>
            <w:vMerge w:val="continue"/>
            <w:tcBorders>
              <w:left w:val="single" w:color="auto" w:sz="4" w:space="0"/>
              <w:right w:val="single" w:color="auto" w:sz="4" w:space="0"/>
            </w:tcBorders>
            <w:shd w:val="clear" w:color="auto" w:fill="auto"/>
            <w:noWrap w:val="0"/>
            <w:vAlign w:val="bottom"/>
          </w:tcPr>
          <w:p>
            <w:pPr>
              <w:pStyle w:val="70"/>
              <w:shd w:val="clear" w:color="auto" w:fill="auto"/>
              <w:spacing w:line="240" w:lineRule="auto"/>
              <w:jc w:val="left"/>
              <w:rPr>
                <w:rFonts w:hint="default" w:ascii="Times New Roman" w:hAnsi="Times New Roman" w:eastAsia="黑体" w:cs="Times New Roman"/>
                <w:b/>
                <w:bCs/>
                <w:color w:val="auto"/>
                <w:sz w:val="18"/>
                <w:szCs w:val="18"/>
              </w:rPr>
            </w:pPr>
          </w:p>
        </w:tc>
        <w:tc>
          <w:tcPr>
            <w:tcW w:w="234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新增废水处理设施能力</w:t>
            </w:r>
          </w:p>
        </w:tc>
        <w:tc>
          <w:tcPr>
            <w:tcW w:w="6654" w:type="dxa"/>
            <w:gridSpan w:val="7"/>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0"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新增废气处理设施能力</w:t>
            </w: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10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年平均工作时</w:t>
            </w:r>
          </w:p>
        </w:tc>
        <w:tc>
          <w:tcPr>
            <w:tcW w:w="3059"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lang w:val="en-US" w:eastAsia="zh-CN"/>
              </w:rPr>
              <w:t>/</w:t>
            </w:r>
          </w:p>
        </w:tc>
      </w:tr>
      <w:tr>
        <w:tblPrEx>
          <w:shd w:val="clear" w:color="auto" w:fill="auto"/>
          <w:tblCellMar>
            <w:top w:w="0" w:type="dxa"/>
            <w:left w:w="108" w:type="dxa"/>
            <w:bottom w:w="0" w:type="dxa"/>
            <w:right w:w="108" w:type="dxa"/>
          </w:tblCellMar>
        </w:tblPrEx>
        <w:trPr>
          <w:trHeight w:val="351" w:hRule="atLeast"/>
          <w:jc w:val="center"/>
        </w:trPr>
        <w:tc>
          <w:tcPr>
            <w:tcW w:w="2825" w:type="dxa"/>
            <w:gridSpan w:val="4"/>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运营单位</w:t>
            </w:r>
          </w:p>
        </w:tc>
        <w:tc>
          <w:tcPr>
            <w:tcW w:w="5514" w:type="dxa"/>
            <w:gridSpan w:val="5"/>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b/>
                <w:bCs/>
                <w:color w:val="auto"/>
                <w:sz w:val="18"/>
                <w:szCs w:val="18"/>
              </w:rPr>
            </w:pPr>
            <w:r>
              <w:rPr>
                <w:rFonts w:hint="default" w:ascii="Times New Roman" w:hAnsi="Times New Roman" w:eastAsia="宋体" w:cs="Times New Roman"/>
                <w:color w:val="auto"/>
                <w:szCs w:val="21"/>
                <w:lang w:val="en-US" w:eastAsia="zh-CN"/>
              </w:rPr>
              <w:t>济南热力集团有限公司</w:t>
            </w:r>
          </w:p>
        </w:tc>
        <w:tc>
          <w:tcPr>
            <w:tcW w:w="3990" w:type="dxa"/>
            <w:gridSpan w:val="5"/>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运营单位社会统一信用代码（或组织机构代码）</w:t>
            </w:r>
          </w:p>
        </w:tc>
        <w:tc>
          <w:tcPr>
            <w:tcW w:w="2853"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Cs w:val="21"/>
                <w:lang w:val="en-US" w:eastAsia="zh-CN"/>
              </w:rPr>
              <w:t>91370100264313027J</w:t>
            </w:r>
          </w:p>
        </w:tc>
        <w:tc>
          <w:tcPr>
            <w:tcW w:w="2100"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Style w:val="71"/>
                <w:rFonts w:hint="default" w:ascii="Times New Roman" w:hAnsi="Times New Roman" w:eastAsia="黑体" w:cs="Times New Roman"/>
                <w:b/>
                <w:bCs/>
                <w:color w:val="auto"/>
                <w:sz w:val="18"/>
                <w:szCs w:val="18"/>
                <w:lang w:val="en-US" w:eastAsia="zh-CN"/>
              </w:rPr>
            </w:pPr>
            <w:r>
              <w:rPr>
                <w:rStyle w:val="71"/>
                <w:rFonts w:hint="default" w:ascii="Times New Roman" w:hAnsi="Times New Roman" w:eastAsia="黑体" w:cs="Times New Roman"/>
                <w:b/>
                <w:bCs/>
                <w:color w:val="auto"/>
                <w:sz w:val="18"/>
                <w:szCs w:val="18"/>
                <w:lang w:val="en-US" w:eastAsia="zh-CN"/>
              </w:rPr>
              <w:t>验收时间</w:t>
            </w:r>
          </w:p>
        </w:tc>
        <w:tc>
          <w:tcPr>
            <w:tcW w:w="3059" w:type="dxa"/>
            <w:gridSpan w:val="4"/>
            <w:tcBorders>
              <w:top w:val="single" w:color="auto" w:sz="4" w:space="0"/>
              <w:left w:val="single" w:color="auto" w:sz="4" w:space="0"/>
              <w:righ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r>
              <w:rPr>
                <w:rFonts w:hint="default" w:ascii="Times New Roman" w:hAnsi="Times New Roman" w:eastAsia="宋体" w:cs="Times New Roman"/>
                <w:color w:val="auto"/>
                <w:sz w:val="18"/>
                <w:szCs w:val="18"/>
                <w:highlight w:val="none"/>
                <w:lang w:val="en-US" w:eastAsia="zh-CN"/>
              </w:rPr>
              <w:t>202</w:t>
            </w:r>
            <w:r>
              <w:rPr>
                <w:rFonts w:hint="eastAsia" w:ascii="Times New Roman" w:hAnsi="Times New Roman" w:cs="Times New Roman"/>
                <w:color w:val="auto"/>
                <w:sz w:val="18"/>
                <w:szCs w:val="18"/>
                <w:highlight w:val="none"/>
                <w:lang w:val="en-US" w:eastAsia="zh-CN"/>
              </w:rPr>
              <w:t>4</w:t>
            </w:r>
            <w:r>
              <w:rPr>
                <w:rFonts w:hint="default" w:ascii="Times New Roman" w:hAnsi="Times New Roman" w:eastAsia="宋体" w:cs="Times New Roman"/>
                <w:color w:val="auto"/>
                <w:sz w:val="18"/>
                <w:szCs w:val="18"/>
                <w:highlight w:val="none"/>
                <w:lang w:val="en-US" w:eastAsia="zh-CN"/>
              </w:rPr>
              <w:t>年</w:t>
            </w:r>
            <w:r>
              <w:rPr>
                <w:rFonts w:hint="eastAsia" w:ascii="Times New Roman" w:hAnsi="Times New Roman" w:cs="Times New Roman"/>
                <w:color w:val="auto"/>
                <w:sz w:val="18"/>
                <w:szCs w:val="18"/>
                <w:highlight w:val="none"/>
                <w:lang w:val="en-US" w:eastAsia="zh-CN"/>
              </w:rPr>
              <w:t>11</w:t>
            </w:r>
            <w:r>
              <w:rPr>
                <w:rFonts w:hint="default" w:ascii="Times New Roman" w:hAnsi="Times New Roman" w:eastAsia="宋体" w:cs="Times New Roman"/>
                <w:color w:val="auto"/>
                <w:sz w:val="18"/>
                <w:szCs w:val="18"/>
                <w:highlight w:val="none"/>
                <w:lang w:val="en-US" w:eastAsia="zh-CN"/>
              </w:rPr>
              <w:t>月</w:t>
            </w: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restart"/>
            <w:tcBorders>
              <w:top w:val="single" w:color="auto" w:sz="4" w:space="0"/>
              <w:left w:val="single" w:color="auto" w:sz="4" w:space="0"/>
            </w:tcBorders>
            <w:shd w:val="clear" w:color="auto" w:fill="auto"/>
            <w:noWrap w:val="0"/>
            <w:vAlign w:val="center"/>
          </w:tcPr>
          <w:p>
            <w:pPr>
              <w:rPr>
                <w:rFonts w:hint="default" w:ascii="Times New Roman" w:hAnsi="Times New Roman" w:eastAsia="黑体" w:cs="Times New Roman"/>
                <w:b/>
                <w:bCs/>
                <w:color w:val="auto"/>
                <w:sz w:val="18"/>
                <w:szCs w:val="18"/>
              </w:rPr>
            </w:pPr>
            <w:r>
              <w:rPr>
                <w:rFonts w:hint="default" w:ascii="Times New Roman" w:hAnsi="Times New Roman" w:eastAsia="黑体" w:cs="Times New Roman"/>
                <w:b/>
                <w:bCs/>
                <w:color w:val="auto"/>
                <w:sz w:val="18"/>
                <w:szCs w:val="18"/>
              </w:rPr>
              <w:t>污染物排放达标与总量控制（工业建设项目详填）</w:t>
            </w:r>
          </w:p>
        </w:tc>
        <w:tc>
          <w:tcPr>
            <w:tcW w:w="2115"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distribute"/>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污染物</w:t>
            </w:r>
          </w:p>
        </w:tc>
        <w:tc>
          <w:tcPr>
            <w:tcW w:w="1086"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原有排</w:t>
            </w:r>
          </w:p>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放量⑴</w:t>
            </w:r>
          </w:p>
        </w:tc>
        <w:tc>
          <w:tcPr>
            <w:tcW w:w="1638"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本期工程实际排放浓度⑵</w:t>
            </w:r>
          </w:p>
        </w:tc>
        <w:tc>
          <w:tcPr>
            <w:tcW w:w="141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本期工程允许排放浓度</w:t>
            </w:r>
            <w:r>
              <w:rPr>
                <w:rStyle w:val="71"/>
                <w:rFonts w:hint="default" w:ascii="Times New Roman" w:hAnsi="Times New Roman" w:eastAsia="黑体" w:cs="Times New Roman"/>
                <w:b/>
                <w:bCs/>
                <w:color w:val="auto"/>
                <w:sz w:val="18"/>
                <w:szCs w:val="18"/>
                <w:lang w:val="en-US" w:eastAsia="zh-CN" w:bidi="en-US"/>
              </w:rPr>
              <w:t>(3)</w:t>
            </w:r>
          </w:p>
        </w:tc>
        <w:tc>
          <w:tcPr>
            <w:tcW w:w="138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本期工程产</w:t>
            </w:r>
          </w:p>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生量⑷</w:t>
            </w:r>
          </w:p>
        </w:tc>
        <w:tc>
          <w:tcPr>
            <w:tcW w:w="1365" w:type="dxa"/>
            <w:gridSpan w:val="3"/>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本期工程自身</w:t>
            </w:r>
          </w:p>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削减量</w:t>
            </w:r>
            <w:r>
              <w:rPr>
                <w:rStyle w:val="71"/>
                <w:rFonts w:hint="default" w:ascii="Times New Roman" w:hAnsi="Times New Roman" w:eastAsia="黑体" w:cs="Times New Roman"/>
                <w:b/>
                <w:bCs/>
                <w:color w:val="auto"/>
                <w:sz w:val="18"/>
                <w:szCs w:val="18"/>
                <w:lang w:val="en-US" w:eastAsia="en-US" w:bidi="en-US"/>
              </w:rPr>
              <w:t>(5)</w:t>
            </w:r>
          </w:p>
        </w:tc>
        <w:tc>
          <w:tcPr>
            <w:tcW w:w="132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本期工程实际排放量</w:t>
            </w:r>
            <w:r>
              <w:rPr>
                <w:rStyle w:val="71"/>
                <w:rFonts w:hint="default" w:ascii="Times New Roman" w:hAnsi="Times New Roman" w:eastAsia="黑体" w:cs="Times New Roman"/>
                <w:b/>
                <w:bCs/>
                <w:color w:val="auto"/>
                <w:sz w:val="18"/>
                <w:szCs w:val="18"/>
                <w:lang w:val="en-US" w:eastAsia="en-US" w:bidi="en-US"/>
              </w:rPr>
              <w:t>(6)</w:t>
            </w:r>
          </w:p>
        </w:tc>
        <w:tc>
          <w:tcPr>
            <w:tcW w:w="1305"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本期工程孩定排放总量</w:t>
            </w:r>
            <w:r>
              <w:rPr>
                <w:rStyle w:val="71"/>
                <w:rFonts w:hint="default" w:ascii="Times New Roman" w:hAnsi="Times New Roman" w:eastAsia="黑体" w:cs="Times New Roman"/>
                <w:b/>
                <w:bCs/>
                <w:color w:val="auto"/>
                <w:sz w:val="18"/>
                <w:szCs w:val="18"/>
                <w:lang w:val="en-US" w:eastAsia="zh-CN" w:bidi="en-US"/>
              </w:rPr>
              <w:t>(7)</w:t>
            </w:r>
          </w:p>
        </w:tc>
        <w:tc>
          <w:tcPr>
            <w:tcW w:w="2853"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本期工程“以新带老〃 削减量</w:t>
            </w:r>
            <w:r>
              <w:rPr>
                <w:rStyle w:val="71"/>
                <w:rFonts w:hint="default" w:ascii="Times New Roman" w:hAnsi="Times New Roman" w:eastAsia="黑体" w:cs="Times New Roman"/>
                <w:b/>
                <w:bCs/>
                <w:color w:val="auto"/>
                <w:sz w:val="18"/>
                <w:szCs w:val="18"/>
                <w:lang w:val="en-US" w:eastAsia="zh-CN" w:bidi="en-US"/>
              </w:rPr>
              <w:t>(8)</w:t>
            </w:r>
          </w:p>
        </w:tc>
        <w:tc>
          <w:tcPr>
            <w:tcW w:w="987"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全厂实际排放总量</w:t>
            </w:r>
            <w:r>
              <w:rPr>
                <w:rStyle w:val="71"/>
                <w:rFonts w:hint="default" w:ascii="Times New Roman" w:hAnsi="Times New Roman" w:eastAsia="黑体" w:cs="Times New Roman"/>
                <w:b/>
                <w:bCs/>
                <w:color w:val="auto"/>
                <w:sz w:val="18"/>
                <w:szCs w:val="18"/>
                <w:lang w:val="en-US" w:eastAsia="en-US" w:bidi="en-US"/>
              </w:rPr>
              <w:t>(9)</w:t>
            </w:r>
          </w:p>
        </w:tc>
        <w:tc>
          <w:tcPr>
            <w:tcW w:w="1573" w:type="dxa"/>
            <w:gridSpan w:val="2"/>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全厂孩定排放总 量</w:t>
            </w:r>
            <w:r>
              <w:rPr>
                <w:rStyle w:val="71"/>
                <w:rFonts w:hint="default" w:ascii="Times New Roman" w:hAnsi="Times New Roman" w:eastAsia="黑体" w:cs="Times New Roman"/>
                <w:b/>
                <w:bCs/>
                <w:color w:val="auto"/>
                <w:sz w:val="18"/>
                <w:szCs w:val="18"/>
                <w:lang w:val="en-US" w:eastAsia="en-US" w:bidi="en-US"/>
              </w:rPr>
              <w:t>(10)</w:t>
            </w:r>
          </w:p>
        </w:tc>
        <w:tc>
          <w:tcPr>
            <w:tcW w:w="1277"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区域平衡替代削减量(11)</w:t>
            </w:r>
          </w:p>
        </w:tc>
        <w:tc>
          <w:tcPr>
            <w:tcW w:w="1322" w:type="dxa"/>
            <w:gridSpan w:val="2"/>
            <w:tcBorders>
              <w:top w:val="single" w:color="auto" w:sz="4" w:space="0"/>
              <w:left w:val="single" w:color="auto" w:sz="4" w:space="0"/>
              <w:right w:val="single" w:color="auto" w:sz="4" w:space="0"/>
            </w:tcBorders>
            <w:shd w:val="clear" w:color="auto" w:fill="auto"/>
            <w:noWrap w:val="0"/>
            <w:vAlign w:val="bottom"/>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排放增</w:t>
            </w:r>
          </w:p>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减量</w:t>
            </w:r>
            <w:r>
              <w:rPr>
                <w:rStyle w:val="71"/>
                <w:rFonts w:hint="default" w:ascii="Times New Roman" w:hAnsi="Times New Roman" w:eastAsia="黑体" w:cs="Times New Roman"/>
                <w:b/>
                <w:bCs/>
                <w:color w:val="auto"/>
                <w:sz w:val="18"/>
                <w:szCs w:val="18"/>
                <w:lang w:val="en-US" w:eastAsia="en-US" w:bidi="en-US"/>
              </w:rPr>
              <w:t>(12)</w:t>
            </w: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115" w:type="dxa"/>
            <w:gridSpan w:val="2"/>
            <w:tcBorders>
              <w:top w:val="single" w:color="auto" w:sz="4" w:space="0"/>
              <w:left w:val="single" w:color="auto" w:sz="4" w:space="0"/>
            </w:tcBorders>
            <w:shd w:val="clear" w:color="auto" w:fill="auto"/>
            <w:noWrap w:val="0"/>
            <w:vAlign w:val="top"/>
          </w:tcPr>
          <w:p>
            <w:pPr>
              <w:pStyle w:val="70"/>
              <w:shd w:val="clear" w:color="auto" w:fill="auto"/>
              <w:spacing w:line="240" w:lineRule="auto"/>
              <w:jc w:val="distribute"/>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废水</w:t>
            </w:r>
          </w:p>
        </w:tc>
        <w:tc>
          <w:tcPr>
            <w:tcW w:w="1086"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41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8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化学需氧量</w:t>
            </w:r>
          </w:p>
        </w:tc>
        <w:tc>
          <w:tcPr>
            <w:tcW w:w="1086"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氨氮</w:t>
            </w:r>
          </w:p>
        </w:tc>
        <w:tc>
          <w:tcPr>
            <w:tcW w:w="1086"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宋体" w:cs="Times New Roman"/>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石油类</w:t>
            </w:r>
          </w:p>
        </w:tc>
        <w:tc>
          <w:tcPr>
            <w:tcW w:w="1086"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41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8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115" w:type="dxa"/>
            <w:gridSpan w:val="2"/>
            <w:tcBorders>
              <w:top w:val="single" w:color="auto" w:sz="4" w:space="0"/>
              <w:left w:val="single" w:color="auto" w:sz="4" w:space="0"/>
            </w:tcBorders>
            <w:shd w:val="clear" w:color="auto" w:fill="auto"/>
            <w:noWrap w:val="0"/>
            <w:vAlign w:val="top"/>
          </w:tcPr>
          <w:p>
            <w:pPr>
              <w:pStyle w:val="70"/>
              <w:shd w:val="clear" w:color="auto" w:fill="auto"/>
              <w:spacing w:line="240" w:lineRule="auto"/>
              <w:jc w:val="distribute"/>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废气</w:t>
            </w:r>
          </w:p>
        </w:tc>
        <w:tc>
          <w:tcPr>
            <w:tcW w:w="1086"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41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8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二氧化硫</w:t>
            </w:r>
          </w:p>
        </w:tc>
        <w:tc>
          <w:tcPr>
            <w:tcW w:w="1086"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烟尘</w:t>
            </w:r>
          </w:p>
        </w:tc>
        <w:tc>
          <w:tcPr>
            <w:tcW w:w="1086"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工业粉尘</w:t>
            </w:r>
          </w:p>
        </w:tc>
        <w:tc>
          <w:tcPr>
            <w:tcW w:w="1086"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rPr>
            </w:pPr>
          </w:p>
        </w:tc>
        <w:tc>
          <w:tcPr>
            <w:tcW w:w="1410"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rPr>
            </w:pPr>
          </w:p>
        </w:tc>
        <w:tc>
          <w:tcPr>
            <w:tcW w:w="138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氮氧化物</w:t>
            </w:r>
          </w:p>
        </w:tc>
        <w:tc>
          <w:tcPr>
            <w:tcW w:w="1086"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115" w:type="dxa"/>
            <w:gridSpan w:val="2"/>
            <w:tcBorders>
              <w:top w:val="single" w:color="auto" w:sz="4" w:space="0"/>
              <w:left w:val="single" w:color="auto" w:sz="4" w:space="0"/>
            </w:tcBorders>
            <w:shd w:val="clear" w:color="auto" w:fill="auto"/>
            <w:noWrap w:val="0"/>
            <w:vAlign w:val="bottom"/>
          </w:tcPr>
          <w:p>
            <w:pPr>
              <w:pStyle w:val="70"/>
              <w:shd w:val="clear" w:color="auto" w:fill="auto"/>
              <w:spacing w:line="240" w:lineRule="auto"/>
              <w:jc w:val="distribute"/>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工业固体废物</w:t>
            </w:r>
          </w:p>
        </w:tc>
        <w:tc>
          <w:tcPr>
            <w:tcW w:w="1086"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rPr>
            </w:pPr>
          </w:p>
        </w:tc>
        <w:tc>
          <w:tcPr>
            <w:tcW w:w="1410" w:type="dxa"/>
            <w:tcBorders>
              <w:top w:val="single" w:color="auto" w:sz="4" w:space="0"/>
              <w:left w:val="single" w:color="auto" w:sz="4" w:space="0"/>
              <w:bottom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rPr>
            </w:pPr>
          </w:p>
        </w:tc>
        <w:tc>
          <w:tcPr>
            <w:tcW w:w="138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shd w:val="clear" w:color="auto" w:fill="auto"/>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65" w:type="dxa"/>
            <w:vMerge w:val="restart"/>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rPr>
            </w:pPr>
            <w:r>
              <w:rPr>
                <w:rStyle w:val="71"/>
                <w:rFonts w:hint="default" w:ascii="Times New Roman" w:hAnsi="Times New Roman" w:eastAsia="黑体" w:cs="Times New Roman"/>
                <w:b/>
                <w:bCs/>
                <w:color w:val="auto"/>
                <w:sz w:val="18"/>
                <w:szCs w:val="18"/>
              </w:rPr>
              <w:t>与项目有关的其他特征污染 物</w:t>
            </w:r>
          </w:p>
        </w:tc>
        <w:tc>
          <w:tcPr>
            <w:tcW w:w="115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lang w:val="en-US" w:eastAsia="zh-CN"/>
              </w:rPr>
            </w:pPr>
            <w:r>
              <w:rPr>
                <w:rFonts w:hint="default" w:ascii="Times New Roman" w:hAnsi="Times New Roman" w:eastAsia="黑体" w:cs="Times New Roman"/>
                <w:b/>
                <w:bCs/>
                <w:color w:val="auto"/>
                <w:sz w:val="18"/>
                <w:szCs w:val="18"/>
                <w:lang w:val="en-US" w:eastAsia="zh-CN"/>
              </w:rPr>
              <w:t>氨</w:t>
            </w:r>
          </w:p>
        </w:tc>
        <w:tc>
          <w:tcPr>
            <w:tcW w:w="1086" w:type="dxa"/>
            <w:gridSpan w:val="2"/>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lang w:val="en-US" w:eastAsia="zh-CN"/>
              </w:rPr>
            </w:pPr>
          </w:p>
        </w:tc>
        <w:tc>
          <w:tcPr>
            <w:tcW w:w="141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65" w:type="dxa"/>
            <w:vMerge w:val="continue"/>
            <w:tcBorders>
              <w:left w:val="single" w:color="auto" w:sz="4" w:space="0"/>
            </w:tcBorders>
            <w:shd w:val="clear" w:color="auto" w:fill="auto"/>
            <w:noWrap w:val="0"/>
            <w:vAlign w:val="bottom"/>
          </w:tcPr>
          <w:p>
            <w:pPr>
              <w:rPr>
                <w:rFonts w:hint="default" w:ascii="Times New Roman" w:hAnsi="Times New Roman" w:eastAsia="黑体" w:cs="Times New Roman"/>
                <w:b/>
                <w:bCs/>
                <w:color w:val="auto"/>
                <w:sz w:val="18"/>
                <w:szCs w:val="18"/>
              </w:rPr>
            </w:pPr>
          </w:p>
        </w:tc>
        <w:tc>
          <w:tcPr>
            <w:tcW w:w="115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lang w:val="en-US" w:eastAsia="zh-CN"/>
              </w:rPr>
            </w:pPr>
            <w:r>
              <w:rPr>
                <w:rFonts w:hint="default" w:ascii="Times New Roman" w:hAnsi="Times New Roman" w:eastAsia="黑体" w:cs="Times New Roman"/>
                <w:b/>
                <w:bCs/>
                <w:color w:val="auto"/>
                <w:sz w:val="18"/>
                <w:szCs w:val="18"/>
                <w:lang w:val="en-US" w:eastAsia="zh-CN"/>
              </w:rPr>
              <w:t>颗粒物</w:t>
            </w:r>
          </w:p>
        </w:tc>
        <w:tc>
          <w:tcPr>
            <w:tcW w:w="1086" w:type="dxa"/>
            <w:gridSpan w:val="2"/>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lang w:val="en-US" w:eastAsia="zh-CN"/>
              </w:rPr>
            </w:pPr>
          </w:p>
        </w:tc>
        <w:tc>
          <w:tcPr>
            <w:tcW w:w="1410" w:type="dxa"/>
            <w:tcBorders>
              <w:top w:val="single" w:color="auto" w:sz="4" w:space="0"/>
              <w:left w:val="single" w:color="auto" w:sz="4" w:space="0"/>
              <w:bottom w:val="single" w:color="auto" w:sz="4" w:space="0"/>
              <w:righ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jc w:val="center"/>
              <w:rPr>
                <w:rFonts w:hint="default" w:ascii="Times New Roman" w:hAnsi="Times New Roman" w:eastAsia="黑体" w:cs="Times New Roman"/>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r>
        <w:tblPrEx>
          <w:tblCellMar>
            <w:top w:w="0" w:type="dxa"/>
            <w:left w:w="108" w:type="dxa"/>
            <w:bottom w:w="0" w:type="dxa"/>
            <w:right w:w="108" w:type="dxa"/>
          </w:tblCellMar>
        </w:tblPrEx>
        <w:trPr>
          <w:trHeight w:val="351" w:hRule="atLeast"/>
          <w:jc w:val="center"/>
        </w:trPr>
        <w:tc>
          <w:tcPr>
            <w:tcW w:w="710" w:type="dxa"/>
            <w:gridSpan w:val="2"/>
            <w:vMerge w:val="continue"/>
            <w:tcBorders>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65" w:type="dxa"/>
            <w:vMerge w:val="continue"/>
            <w:tcBorders>
              <w:left w:val="single" w:color="auto" w:sz="4" w:space="0"/>
            </w:tcBorders>
            <w:shd w:val="clear" w:color="auto" w:fill="auto"/>
            <w:noWrap w:val="0"/>
            <w:vAlign w:val="bottom"/>
          </w:tcPr>
          <w:p>
            <w:pPr>
              <w:rPr>
                <w:rFonts w:hint="default" w:ascii="Times New Roman" w:hAnsi="Times New Roman" w:eastAsia="黑体" w:cs="Times New Roman"/>
                <w:b/>
                <w:bCs/>
                <w:color w:val="auto"/>
                <w:sz w:val="18"/>
                <w:szCs w:val="18"/>
              </w:rPr>
            </w:pPr>
          </w:p>
        </w:tc>
        <w:tc>
          <w:tcPr>
            <w:tcW w:w="1150" w:type="dxa"/>
            <w:tcBorders>
              <w:top w:val="single" w:color="auto" w:sz="4" w:space="0"/>
              <w:left w:val="single" w:color="auto" w:sz="4" w:space="0"/>
            </w:tcBorders>
            <w:shd w:val="clear" w:color="auto" w:fill="auto"/>
            <w:noWrap w:val="0"/>
            <w:vAlign w:val="center"/>
          </w:tcPr>
          <w:p>
            <w:pPr>
              <w:pStyle w:val="70"/>
              <w:shd w:val="clear" w:color="auto" w:fill="auto"/>
              <w:spacing w:line="240" w:lineRule="auto"/>
              <w:jc w:val="center"/>
              <w:rPr>
                <w:rFonts w:hint="default" w:ascii="Times New Roman" w:hAnsi="Times New Roman" w:eastAsia="黑体" w:cs="Times New Roman"/>
                <w:b/>
                <w:bCs/>
                <w:color w:val="auto"/>
                <w:sz w:val="18"/>
                <w:szCs w:val="18"/>
                <w:lang w:val="en-US" w:eastAsia="zh-CN"/>
              </w:rPr>
            </w:pPr>
            <w:r>
              <w:rPr>
                <w:rFonts w:hint="default" w:ascii="Times New Roman" w:hAnsi="Times New Roman" w:eastAsia="黑体" w:cs="Times New Roman"/>
                <w:b/>
                <w:bCs/>
                <w:color w:val="auto"/>
                <w:sz w:val="18"/>
                <w:szCs w:val="18"/>
                <w:lang w:val="en-US" w:eastAsia="zh-CN"/>
              </w:rPr>
              <w:t>硫化氢</w:t>
            </w:r>
          </w:p>
        </w:tc>
        <w:tc>
          <w:tcPr>
            <w:tcW w:w="1086" w:type="dxa"/>
            <w:gridSpan w:val="2"/>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b/>
                <w:bCs/>
                <w:color w:val="auto"/>
                <w:sz w:val="18"/>
                <w:szCs w:val="18"/>
              </w:rPr>
            </w:pPr>
          </w:p>
        </w:tc>
        <w:tc>
          <w:tcPr>
            <w:tcW w:w="1638"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lang w:val="en-US" w:eastAsia="zh-CN"/>
              </w:rPr>
            </w:pPr>
          </w:p>
        </w:tc>
        <w:tc>
          <w:tcPr>
            <w:tcW w:w="1410" w:type="dxa"/>
            <w:tcBorders>
              <w:top w:val="single" w:color="auto" w:sz="4" w:space="0"/>
              <w:left w:val="single" w:color="auto" w:sz="4" w:space="0"/>
            </w:tcBorders>
            <w:shd w:val="clear" w:color="auto" w:fill="auto"/>
            <w:noWrap w:val="0"/>
            <w:vAlign w:val="center"/>
          </w:tcPr>
          <w:p>
            <w:pPr>
              <w:jc w:val="center"/>
              <w:rPr>
                <w:rFonts w:hint="default" w:ascii="Times New Roman" w:hAnsi="Times New Roman" w:eastAsia="黑体" w:cs="Times New Roman"/>
                <w:color w:val="auto"/>
                <w:sz w:val="18"/>
                <w:szCs w:val="18"/>
                <w:lang w:val="en-US" w:eastAsia="zh-CN"/>
              </w:rPr>
            </w:pPr>
          </w:p>
        </w:tc>
        <w:tc>
          <w:tcPr>
            <w:tcW w:w="138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65" w:type="dxa"/>
            <w:gridSpan w:val="3"/>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0"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05"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2853"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98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573" w:type="dxa"/>
            <w:gridSpan w:val="2"/>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277" w:type="dxa"/>
            <w:tcBorders>
              <w:top w:val="single" w:color="auto" w:sz="4" w:space="0"/>
              <w:lef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c>
          <w:tcPr>
            <w:tcW w:w="1322" w:type="dxa"/>
            <w:gridSpan w:val="2"/>
            <w:tcBorders>
              <w:top w:val="single" w:color="auto" w:sz="4" w:space="0"/>
              <w:left w:val="single" w:color="auto" w:sz="4" w:space="0"/>
              <w:right w:val="single" w:color="auto" w:sz="4" w:space="0"/>
            </w:tcBorders>
            <w:shd w:val="clear" w:color="auto" w:fill="auto"/>
            <w:noWrap w:val="0"/>
            <w:vAlign w:val="top"/>
          </w:tcPr>
          <w:p>
            <w:pPr>
              <w:rPr>
                <w:rFonts w:hint="default" w:ascii="Times New Roman" w:hAnsi="Times New Roman" w:eastAsia="黑体" w:cs="Times New Roman"/>
                <w:b/>
                <w:bCs/>
                <w:color w:val="auto"/>
                <w:sz w:val="18"/>
                <w:szCs w:val="18"/>
              </w:rPr>
            </w:pPr>
          </w:p>
        </w:tc>
      </w:tr>
    </w:tbl>
    <w:p>
      <w:pPr>
        <w:rPr>
          <w:rStyle w:val="72"/>
          <w:color w:val="auto"/>
        </w:rPr>
      </w:pPr>
      <w:r>
        <w:rPr>
          <w:rFonts w:ascii="MicrosoftYaHei-Bold" w:hAnsi="MicrosoftYaHei-Bold" w:eastAsia="MicrosoftYaHei-Bold" w:cs="MicrosoftYaHei-Bold"/>
          <w:b/>
          <w:color w:val="auto"/>
          <w:sz w:val="16"/>
          <w:szCs w:val="16"/>
        </w:rPr>
        <w:t>注</w:t>
      </w:r>
      <w:r>
        <w:rPr>
          <w:rStyle w:val="72"/>
          <w:color w:val="auto"/>
        </w:rPr>
        <w:t>：</w:t>
      </w:r>
      <w:r>
        <w:rPr>
          <w:rFonts w:ascii="Tahoma" w:hAnsi="Tahoma" w:eastAsia="Tahoma" w:cs="Tahoma"/>
          <w:color w:val="auto"/>
          <w:sz w:val="16"/>
          <w:szCs w:val="16"/>
        </w:rPr>
        <w:t>1</w:t>
      </w:r>
      <w:r>
        <w:rPr>
          <w:rStyle w:val="72"/>
          <w:color w:val="auto"/>
        </w:rPr>
        <w:t>、排放增减量：（</w:t>
      </w:r>
      <w:r>
        <w:rPr>
          <w:rFonts w:ascii="Tahoma" w:hAnsi="Tahoma" w:eastAsia="Tahoma" w:cs="Tahoma"/>
          <w:color w:val="auto"/>
          <w:sz w:val="16"/>
          <w:szCs w:val="16"/>
        </w:rPr>
        <w:t>+</w:t>
      </w:r>
      <w:r>
        <w:rPr>
          <w:rStyle w:val="72"/>
          <w:color w:val="auto"/>
        </w:rPr>
        <w:t>）表示增加，（</w:t>
      </w:r>
      <w:r>
        <w:rPr>
          <w:rFonts w:ascii="Tahoma" w:hAnsi="Tahoma" w:eastAsia="Tahoma" w:cs="Tahoma"/>
          <w:color w:val="auto"/>
          <w:sz w:val="16"/>
          <w:szCs w:val="16"/>
        </w:rPr>
        <w:t>-</w:t>
      </w:r>
      <w:r>
        <w:rPr>
          <w:rStyle w:val="72"/>
          <w:color w:val="auto"/>
        </w:rPr>
        <w:t>）表示减少。</w:t>
      </w:r>
    </w:p>
    <w:p>
      <w:pPr>
        <w:ind w:firstLine="320" w:firstLineChars="200"/>
        <w:rPr>
          <w:rStyle w:val="72"/>
          <w:color w:val="auto"/>
        </w:rPr>
      </w:pPr>
      <w:r>
        <w:rPr>
          <w:rFonts w:ascii="Tahoma" w:hAnsi="Tahoma" w:eastAsia="Tahoma" w:cs="Tahoma"/>
          <w:color w:val="auto"/>
          <w:sz w:val="16"/>
          <w:szCs w:val="16"/>
        </w:rPr>
        <w:t>2</w:t>
      </w:r>
      <w:r>
        <w:rPr>
          <w:rStyle w:val="72"/>
          <w:color w:val="auto"/>
        </w:rPr>
        <w:t>、</w:t>
      </w:r>
      <w:r>
        <w:rPr>
          <w:rFonts w:ascii="Tahoma" w:hAnsi="Tahoma" w:eastAsia="Tahoma" w:cs="Tahoma"/>
          <w:color w:val="auto"/>
          <w:sz w:val="16"/>
          <w:szCs w:val="16"/>
        </w:rPr>
        <w:t>(12)=(6)-(8)-(11)</w:t>
      </w:r>
      <w:r>
        <w:rPr>
          <w:rStyle w:val="72"/>
          <w:color w:val="auto"/>
        </w:rPr>
        <w:t>，（</w:t>
      </w:r>
      <w:r>
        <w:rPr>
          <w:rFonts w:ascii="Tahoma" w:hAnsi="Tahoma" w:eastAsia="Tahoma" w:cs="Tahoma"/>
          <w:color w:val="auto"/>
          <w:sz w:val="16"/>
          <w:szCs w:val="16"/>
        </w:rPr>
        <w:t>9</w:t>
      </w:r>
      <w:r>
        <w:rPr>
          <w:rStyle w:val="72"/>
          <w:color w:val="auto"/>
        </w:rPr>
        <w:t>）</w:t>
      </w:r>
      <w:r>
        <w:rPr>
          <w:rFonts w:ascii="Tahoma" w:hAnsi="Tahoma" w:eastAsia="Tahoma" w:cs="Tahoma"/>
          <w:color w:val="auto"/>
          <w:sz w:val="16"/>
          <w:szCs w:val="16"/>
        </w:rPr>
        <w:t>= (4)-(5)-(8)- (11) +</w:t>
      </w:r>
      <w:r>
        <w:rPr>
          <w:rStyle w:val="72"/>
          <w:color w:val="auto"/>
        </w:rPr>
        <w:t>（</w:t>
      </w:r>
      <w:r>
        <w:rPr>
          <w:rFonts w:ascii="Tahoma" w:hAnsi="Tahoma" w:eastAsia="Tahoma" w:cs="Tahoma"/>
          <w:color w:val="auto"/>
          <w:sz w:val="16"/>
          <w:szCs w:val="16"/>
        </w:rPr>
        <w:t>1</w:t>
      </w:r>
      <w:r>
        <w:rPr>
          <w:rStyle w:val="72"/>
          <w:color w:val="auto"/>
        </w:rPr>
        <w:t>）。</w:t>
      </w:r>
    </w:p>
    <w:p>
      <w:pPr>
        <w:ind w:firstLine="320" w:firstLineChars="200"/>
        <w:rPr>
          <w:rFonts w:hint="default"/>
          <w:color w:val="auto"/>
          <w:lang w:val="en-US" w:eastAsia="zh-CN"/>
        </w:rPr>
      </w:pPr>
      <w:r>
        <w:rPr>
          <w:rFonts w:ascii="Tahoma" w:hAnsi="Tahoma" w:eastAsia="Tahoma" w:cs="Tahoma"/>
          <w:color w:val="auto"/>
          <w:sz w:val="16"/>
          <w:szCs w:val="16"/>
        </w:rPr>
        <w:t>3</w:t>
      </w:r>
      <w:r>
        <w:rPr>
          <w:rStyle w:val="72"/>
          <w:color w:val="auto"/>
        </w:rPr>
        <w:t>、计量单位：废水排放量</w:t>
      </w:r>
      <w:r>
        <w:rPr>
          <w:rFonts w:ascii="Tahoma" w:hAnsi="Tahoma" w:eastAsia="Tahoma" w:cs="Tahoma"/>
          <w:color w:val="auto"/>
          <w:sz w:val="16"/>
          <w:szCs w:val="16"/>
        </w:rPr>
        <w:t>——</w:t>
      </w:r>
      <w:r>
        <w:rPr>
          <w:rStyle w:val="72"/>
          <w:color w:val="auto"/>
        </w:rPr>
        <w:t>万吨</w:t>
      </w:r>
      <w:r>
        <w:rPr>
          <w:rFonts w:ascii="Tahoma" w:hAnsi="Tahoma" w:eastAsia="Tahoma" w:cs="Tahoma"/>
          <w:color w:val="auto"/>
          <w:sz w:val="16"/>
          <w:szCs w:val="16"/>
        </w:rPr>
        <w:t>/</w:t>
      </w:r>
      <w:r>
        <w:rPr>
          <w:rStyle w:val="72"/>
          <w:color w:val="auto"/>
        </w:rPr>
        <w:t>年；废气排放量</w:t>
      </w:r>
      <w:r>
        <w:rPr>
          <w:rFonts w:ascii="Tahoma" w:hAnsi="Tahoma" w:eastAsia="Tahoma" w:cs="Tahoma"/>
          <w:color w:val="auto"/>
          <w:sz w:val="16"/>
          <w:szCs w:val="16"/>
        </w:rPr>
        <w:t>——</w:t>
      </w:r>
      <w:r>
        <w:rPr>
          <w:rStyle w:val="72"/>
          <w:color w:val="auto"/>
        </w:rPr>
        <w:t>万标立方米</w:t>
      </w:r>
      <w:r>
        <w:rPr>
          <w:rFonts w:ascii="Tahoma" w:hAnsi="Tahoma" w:eastAsia="Tahoma" w:cs="Tahoma"/>
          <w:color w:val="auto"/>
          <w:sz w:val="16"/>
          <w:szCs w:val="16"/>
        </w:rPr>
        <w:t>/</w:t>
      </w:r>
      <w:r>
        <w:rPr>
          <w:rStyle w:val="72"/>
          <w:color w:val="auto"/>
        </w:rPr>
        <w:t>年；工业固体废物排放量</w:t>
      </w:r>
      <w:r>
        <w:rPr>
          <w:rFonts w:ascii="Tahoma" w:hAnsi="Tahoma" w:eastAsia="Tahoma" w:cs="Tahoma"/>
          <w:color w:val="auto"/>
          <w:sz w:val="16"/>
          <w:szCs w:val="16"/>
        </w:rPr>
        <w:t>——</w:t>
      </w:r>
      <w:r>
        <w:rPr>
          <w:rStyle w:val="72"/>
          <w:color w:val="auto"/>
        </w:rPr>
        <w:t>万吨</w:t>
      </w:r>
      <w:r>
        <w:rPr>
          <w:rFonts w:ascii="Tahoma" w:hAnsi="Tahoma" w:eastAsia="Tahoma" w:cs="Tahoma"/>
          <w:color w:val="auto"/>
          <w:sz w:val="16"/>
          <w:szCs w:val="16"/>
        </w:rPr>
        <w:t>/</w:t>
      </w:r>
      <w:r>
        <w:rPr>
          <w:rStyle w:val="72"/>
          <w:color w:val="auto"/>
        </w:rPr>
        <w:t>年；水污染物排放浓度</w:t>
      </w:r>
      <w:r>
        <w:rPr>
          <w:rFonts w:ascii="Tahoma" w:hAnsi="Tahoma" w:eastAsia="Tahoma" w:cs="Tahoma"/>
          <w:color w:val="auto"/>
          <w:sz w:val="16"/>
          <w:szCs w:val="16"/>
        </w:rPr>
        <w:t>——</w:t>
      </w:r>
      <w:r>
        <w:rPr>
          <w:rStyle w:val="72"/>
          <w:color w:val="auto"/>
        </w:rPr>
        <w:t>毫克</w:t>
      </w:r>
      <w:r>
        <w:rPr>
          <w:rFonts w:ascii="Tahoma" w:hAnsi="Tahoma" w:eastAsia="Tahoma" w:cs="Tahoma"/>
          <w:color w:val="auto"/>
          <w:sz w:val="16"/>
          <w:szCs w:val="16"/>
        </w:rPr>
        <w:t>/</w:t>
      </w:r>
      <w:r>
        <w:rPr>
          <w:rStyle w:val="72"/>
          <w:color w:val="auto"/>
        </w:rPr>
        <w:t>升</w:t>
      </w:r>
      <w:r>
        <w:rPr>
          <w:rFonts w:ascii="宋体" w:hAnsi="宋体" w:cs="宋体"/>
          <w:color w:val="auto"/>
          <w:sz w:val="24"/>
          <w:szCs w:val="24"/>
        </w:rPr>
        <w:t xml:space="preserve"> </w:t>
      </w:r>
    </w:p>
    <w:sectPr>
      <w:headerReference r:id="rId7" w:type="default"/>
      <w:pgSz w:w="23811" w:h="16838" w:orient="landscape"/>
      <w:pgMar w:top="1440" w:right="1800" w:bottom="1440" w:left="1800" w:header="1091" w:footer="1493" w:gutter="0"/>
      <w:pgBorders>
        <w:top w:val="none" w:sz="0" w:space="0"/>
        <w:left w:val="none" w:sz="0" w:space="0"/>
        <w:bottom w:val="none" w:sz="0" w:space="0"/>
        <w:right w:val="none" w:sz="0" w:space="0"/>
      </w:pgBorders>
      <w:pgNumType w:fmt="decimal"/>
      <w:cols w:space="425" w:num="1"/>
      <w:docGrid w:linePitch="28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2010609030101010101"/>
    <w:charset w:val="86"/>
    <w:family w:val="modern"/>
    <w:pitch w:val="default"/>
    <w:sig w:usb0="00000000" w:usb1="00000000" w:usb2="00000000" w:usb3="00000000" w:csb0="00040000" w:csb1="00000000"/>
  </w:font>
  <w:font w:name="MingLiU">
    <w:panose1 w:val="02020509000000000000"/>
    <w:charset w:val="88"/>
    <w:family w:val="modern"/>
    <w:pitch w:val="default"/>
    <w:sig w:usb0="A00002FF" w:usb1="28CFFCFA" w:usb2="00000016" w:usb3="00000000" w:csb0="00100001" w:csb1="00000000"/>
  </w:font>
  <w:font w:name="MicrosoftYaHei">
    <w:altName w:val="微软雅黑"/>
    <w:panose1 w:val="00000000000000000000"/>
    <w:charset w:val="00"/>
    <w:family w:val="auto"/>
    <w:pitch w:val="default"/>
    <w:sig w:usb0="00000000" w:usb1="00000000" w:usb2="00000000" w:usb3="00000000" w:csb0="00040001" w:csb1="00000000"/>
  </w:font>
  <w:font w:name="仿宋">
    <w:panose1 w:val="02010609060101010101"/>
    <w:charset w:val="86"/>
    <w:family w:val="modern"/>
    <w:pitch w:val="default"/>
    <w:sig w:usb0="800002BF" w:usb1="38CF7CFA" w:usb2="00000016" w:usb3="00000000" w:csb0="00040001" w:csb1="00000000"/>
  </w:font>
  <w:font w:name="Wingdings 2">
    <w:altName w:val="Wingdings"/>
    <w:panose1 w:val="05020102010507070707"/>
    <w:charset w:val="00"/>
    <w:family w:val="auto"/>
    <w:pitch w:val="default"/>
    <w:sig w:usb0="00000000" w:usb1="00000000" w:usb2="00000000" w:usb3="00000000" w:csb0="80000000" w:csb1="00000000"/>
  </w:font>
  <w:font w:name="MicrosoftYaHei-Bold">
    <w:altName w:val="微软雅黑"/>
    <w:panose1 w:val="00000000000000000000"/>
    <w:charset w:val="00"/>
    <w:family w:val="auto"/>
    <w:pitch w:val="default"/>
    <w:sig w:usb0="00000000" w:usb1="00000000" w:usb2="00000000" w:usb3="00000000" w:csb0="00040001"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0"/>
      </w:pBdr>
      <w:ind w:right="-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single" w:color="auto" w:sz="4" w:space="0"/>
      </w:pBdr>
    </w:pPr>
    <w:r>
      <w:rPr>
        <w:sz w:val="21"/>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7"/>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val="en-US" w:eastAsia="zh-CN"/>
                            </w:rPr>
                            <w:t>34</w:t>
                          </w:r>
                          <w:r>
                            <w:rPr>
                              <w:rFonts w:hint="eastAsia"/>
                              <w:lang w:eastAsia="zh-CN"/>
                            </w:rP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pPr>
                      <w:pStyle w:val="17"/>
                      <w:rPr>
                        <w:rFonts w:hint="eastAsia" w:eastAsia="宋体"/>
                        <w:lang w:eastAsia="zh-CN"/>
                      </w:rPr>
                    </w:pPr>
                    <w:r>
                      <w:rPr>
                        <w:rFonts w:hint="eastAsia"/>
                        <w:lang w:eastAsia="zh-CN"/>
                      </w:rPr>
                      <w:t xml:space="preserve">第 </w:t>
                    </w: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r>
                      <w:rPr>
                        <w:rFonts w:hint="eastAsia"/>
                        <w:lang w:eastAsia="zh-CN"/>
                      </w:rPr>
                      <w:t xml:space="preserve"> 页 共 </w:t>
                    </w:r>
                    <w:r>
                      <w:rPr>
                        <w:rFonts w:hint="eastAsia"/>
                        <w:lang w:val="en-US" w:eastAsia="zh-CN"/>
                      </w:rPr>
                      <w:t>34</w:t>
                    </w:r>
                    <w:r>
                      <w:rPr>
                        <w:rFonts w:hint="eastAsia"/>
                        <w:lang w:eastAsia="zh-CN"/>
                      </w:rPr>
                      <w:t xml:space="preserve"> 页</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C324C15"/>
    <w:multiLevelType w:val="singleLevel"/>
    <w:tmpl w:val="1C324C15"/>
    <w:lvl w:ilvl="0" w:tentative="0">
      <w:start w:val="1"/>
      <w:numFmt w:val="bullet"/>
      <w:lvlText w:val=""/>
      <w:lvlJc w:val="left"/>
      <w:pPr>
        <w:ind w:left="420" w:hanging="42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doNotValidateAgainstSchema/>
  <w:doNotDemarcateInvalidXml/>
  <w:hdrShapeDefaults>
    <o:shapelayout v:ext="edit">
      <o:idmap v:ext="edit" data="3"/>
    </o:shapelayout>
  </w:hdrShapeDefaults>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78A"/>
    <w:rsid w:val="0000090E"/>
    <w:rsid w:val="00001894"/>
    <w:rsid w:val="00002B68"/>
    <w:rsid w:val="00002D29"/>
    <w:rsid w:val="0000340A"/>
    <w:rsid w:val="0000350B"/>
    <w:rsid w:val="00003EBB"/>
    <w:rsid w:val="0000491B"/>
    <w:rsid w:val="00004D20"/>
    <w:rsid w:val="00005083"/>
    <w:rsid w:val="000055C2"/>
    <w:rsid w:val="00010C86"/>
    <w:rsid w:val="0001132F"/>
    <w:rsid w:val="00013159"/>
    <w:rsid w:val="00013308"/>
    <w:rsid w:val="00013587"/>
    <w:rsid w:val="0001638D"/>
    <w:rsid w:val="00016716"/>
    <w:rsid w:val="00016982"/>
    <w:rsid w:val="00016A84"/>
    <w:rsid w:val="00017252"/>
    <w:rsid w:val="00017619"/>
    <w:rsid w:val="0001780D"/>
    <w:rsid w:val="00017F78"/>
    <w:rsid w:val="00017FB4"/>
    <w:rsid w:val="0002040F"/>
    <w:rsid w:val="00020BF1"/>
    <w:rsid w:val="00020C6C"/>
    <w:rsid w:val="000211AF"/>
    <w:rsid w:val="00021B9A"/>
    <w:rsid w:val="00021D16"/>
    <w:rsid w:val="00022E4A"/>
    <w:rsid w:val="00023130"/>
    <w:rsid w:val="00023684"/>
    <w:rsid w:val="00023966"/>
    <w:rsid w:val="00025239"/>
    <w:rsid w:val="000257C2"/>
    <w:rsid w:val="00025875"/>
    <w:rsid w:val="000258F8"/>
    <w:rsid w:val="00026416"/>
    <w:rsid w:val="000279EC"/>
    <w:rsid w:val="00030BA1"/>
    <w:rsid w:val="00030D18"/>
    <w:rsid w:val="0003120F"/>
    <w:rsid w:val="0003184B"/>
    <w:rsid w:val="000329EF"/>
    <w:rsid w:val="00032CE6"/>
    <w:rsid w:val="00033C96"/>
    <w:rsid w:val="0003406B"/>
    <w:rsid w:val="00034615"/>
    <w:rsid w:val="0003480D"/>
    <w:rsid w:val="0003569F"/>
    <w:rsid w:val="000378A5"/>
    <w:rsid w:val="00037FF6"/>
    <w:rsid w:val="00041901"/>
    <w:rsid w:val="00042A54"/>
    <w:rsid w:val="00043470"/>
    <w:rsid w:val="0004384E"/>
    <w:rsid w:val="00044602"/>
    <w:rsid w:val="000459B1"/>
    <w:rsid w:val="00046167"/>
    <w:rsid w:val="000461BC"/>
    <w:rsid w:val="00046C5C"/>
    <w:rsid w:val="0004727B"/>
    <w:rsid w:val="0005068E"/>
    <w:rsid w:val="00051C37"/>
    <w:rsid w:val="00051D0A"/>
    <w:rsid w:val="00051FA7"/>
    <w:rsid w:val="0005359E"/>
    <w:rsid w:val="000536B0"/>
    <w:rsid w:val="0005449F"/>
    <w:rsid w:val="00054DD3"/>
    <w:rsid w:val="00054FC0"/>
    <w:rsid w:val="00054FFC"/>
    <w:rsid w:val="000555E1"/>
    <w:rsid w:val="00055987"/>
    <w:rsid w:val="00055C4D"/>
    <w:rsid w:val="0005617A"/>
    <w:rsid w:val="000563E2"/>
    <w:rsid w:val="00057325"/>
    <w:rsid w:val="00057CEB"/>
    <w:rsid w:val="00057F3F"/>
    <w:rsid w:val="00060392"/>
    <w:rsid w:val="00060573"/>
    <w:rsid w:val="00060B08"/>
    <w:rsid w:val="00060E8F"/>
    <w:rsid w:val="00062110"/>
    <w:rsid w:val="00062F48"/>
    <w:rsid w:val="000631F5"/>
    <w:rsid w:val="00063D24"/>
    <w:rsid w:val="00063FBA"/>
    <w:rsid w:val="0006596C"/>
    <w:rsid w:val="00066B8D"/>
    <w:rsid w:val="00066EF0"/>
    <w:rsid w:val="0006786C"/>
    <w:rsid w:val="00067AD5"/>
    <w:rsid w:val="00067EF0"/>
    <w:rsid w:val="00070736"/>
    <w:rsid w:val="00070F9D"/>
    <w:rsid w:val="00071A66"/>
    <w:rsid w:val="00072031"/>
    <w:rsid w:val="00072296"/>
    <w:rsid w:val="000733A9"/>
    <w:rsid w:val="00074D8D"/>
    <w:rsid w:val="00074FBD"/>
    <w:rsid w:val="00075393"/>
    <w:rsid w:val="00075720"/>
    <w:rsid w:val="00075F7E"/>
    <w:rsid w:val="0007617A"/>
    <w:rsid w:val="000761B8"/>
    <w:rsid w:val="000765C7"/>
    <w:rsid w:val="00077011"/>
    <w:rsid w:val="0007713A"/>
    <w:rsid w:val="00081965"/>
    <w:rsid w:val="00083723"/>
    <w:rsid w:val="0008414A"/>
    <w:rsid w:val="00084E24"/>
    <w:rsid w:val="00085B4D"/>
    <w:rsid w:val="00087832"/>
    <w:rsid w:val="00090277"/>
    <w:rsid w:val="0009222C"/>
    <w:rsid w:val="00093051"/>
    <w:rsid w:val="00093510"/>
    <w:rsid w:val="00093F5E"/>
    <w:rsid w:val="00095303"/>
    <w:rsid w:val="00095D01"/>
    <w:rsid w:val="00097A06"/>
    <w:rsid w:val="000A06F6"/>
    <w:rsid w:val="000A07D4"/>
    <w:rsid w:val="000A0A64"/>
    <w:rsid w:val="000A0F3C"/>
    <w:rsid w:val="000A1E06"/>
    <w:rsid w:val="000A29FA"/>
    <w:rsid w:val="000A3699"/>
    <w:rsid w:val="000A3F60"/>
    <w:rsid w:val="000A4270"/>
    <w:rsid w:val="000A541B"/>
    <w:rsid w:val="000A5E0A"/>
    <w:rsid w:val="000A62BB"/>
    <w:rsid w:val="000A65CF"/>
    <w:rsid w:val="000A67AB"/>
    <w:rsid w:val="000A6C16"/>
    <w:rsid w:val="000A71BE"/>
    <w:rsid w:val="000A78B4"/>
    <w:rsid w:val="000A7AEB"/>
    <w:rsid w:val="000A7B09"/>
    <w:rsid w:val="000B13AD"/>
    <w:rsid w:val="000B1BB1"/>
    <w:rsid w:val="000B23FE"/>
    <w:rsid w:val="000B3C87"/>
    <w:rsid w:val="000B4525"/>
    <w:rsid w:val="000B50D0"/>
    <w:rsid w:val="000B5121"/>
    <w:rsid w:val="000B530A"/>
    <w:rsid w:val="000B6AF5"/>
    <w:rsid w:val="000B6F2A"/>
    <w:rsid w:val="000B7EBB"/>
    <w:rsid w:val="000B7FD7"/>
    <w:rsid w:val="000C0548"/>
    <w:rsid w:val="000C06FB"/>
    <w:rsid w:val="000C0D31"/>
    <w:rsid w:val="000C1C31"/>
    <w:rsid w:val="000C2E8C"/>
    <w:rsid w:val="000C3B77"/>
    <w:rsid w:val="000C401F"/>
    <w:rsid w:val="000C406F"/>
    <w:rsid w:val="000C40EE"/>
    <w:rsid w:val="000C4FE1"/>
    <w:rsid w:val="000C51B6"/>
    <w:rsid w:val="000C51C1"/>
    <w:rsid w:val="000C598A"/>
    <w:rsid w:val="000C5F4D"/>
    <w:rsid w:val="000C6127"/>
    <w:rsid w:val="000C63C6"/>
    <w:rsid w:val="000C6CF9"/>
    <w:rsid w:val="000C6F41"/>
    <w:rsid w:val="000C7311"/>
    <w:rsid w:val="000C7469"/>
    <w:rsid w:val="000C7594"/>
    <w:rsid w:val="000D0282"/>
    <w:rsid w:val="000D04F9"/>
    <w:rsid w:val="000D066D"/>
    <w:rsid w:val="000D09AB"/>
    <w:rsid w:val="000D0E90"/>
    <w:rsid w:val="000D0F31"/>
    <w:rsid w:val="000D1120"/>
    <w:rsid w:val="000D2335"/>
    <w:rsid w:val="000D2915"/>
    <w:rsid w:val="000D2F9D"/>
    <w:rsid w:val="000D30C0"/>
    <w:rsid w:val="000D3C08"/>
    <w:rsid w:val="000D4844"/>
    <w:rsid w:val="000D4FA6"/>
    <w:rsid w:val="000D630A"/>
    <w:rsid w:val="000E27F4"/>
    <w:rsid w:val="000E3182"/>
    <w:rsid w:val="000E3D43"/>
    <w:rsid w:val="000E3E15"/>
    <w:rsid w:val="000E4E72"/>
    <w:rsid w:val="000E5330"/>
    <w:rsid w:val="000E6267"/>
    <w:rsid w:val="000E6A21"/>
    <w:rsid w:val="000F0BEE"/>
    <w:rsid w:val="000F34D2"/>
    <w:rsid w:val="000F6D39"/>
    <w:rsid w:val="000F7ACD"/>
    <w:rsid w:val="00100A57"/>
    <w:rsid w:val="00100F81"/>
    <w:rsid w:val="00102244"/>
    <w:rsid w:val="00102CC7"/>
    <w:rsid w:val="00104BBC"/>
    <w:rsid w:val="00104EEA"/>
    <w:rsid w:val="00105BEC"/>
    <w:rsid w:val="00107419"/>
    <w:rsid w:val="00111798"/>
    <w:rsid w:val="0011181E"/>
    <w:rsid w:val="0011228E"/>
    <w:rsid w:val="0011266B"/>
    <w:rsid w:val="00112841"/>
    <w:rsid w:val="00112CFD"/>
    <w:rsid w:val="00113359"/>
    <w:rsid w:val="001133CD"/>
    <w:rsid w:val="00113A11"/>
    <w:rsid w:val="00115676"/>
    <w:rsid w:val="001163A7"/>
    <w:rsid w:val="00116C50"/>
    <w:rsid w:val="00117633"/>
    <w:rsid w:val="00117921"/>
    <w:rsid w:val="00120052"/>
    <w:rsid w:val="00120229"/>
    <w:rsid w:val="00120500"/>
    <w:rsid w:val="00120A03"/>
    <w:rsid w:val="00121A2B"/>
    <w:rsid w:val="00122F2E"/>
    <w:rsid w:val="0012448E"/>
    <w:rsid w:val="00124761"/>
    <w:rsid w:val="001251A2"/>
    <w:rsid w:val="00125610"/>
    <w:rsid w:val="001263BD"/>
    <w:rsid w:val="00126452"/>
    <w:rsid w:val="001265C8"/>
    <w:rsid w:val="00130814"/>
    <w:rsid w:val="00131E19"/>
    <w:rsid w:val="00131E36"/>
    <w:rsid w:val="00131FA9"/>
    <w:rsid w:val="001342A0"/>
    <w:rsid w:val="00134387"/>
    <w:rsid w:val="00136488"/>
    <w:rsid w:val="001378F1"/>
    <w:rsid w:val="00141B93"/>
    <w:rsid w:val="00142E81"/>
    <w:rsid w:val="00143424"/>
    <w:rsid w:val="00144292"/>
    <w:rsid w:val="00145619"/>
    <w:rsid w:val="001456E0"/>
    <w:rsid w:val="00146EE8"/>
    <w:rsid w:val="001479A9"/>
    <w:rsid w:val="00147CC2"/>
    <w:rsid w:val="0015161F"/>
    <w:rsid w:val="0015167F"/>
    <w:rsid w:val="00151F44"/>
    <w:rsid w:val="00152515"/>
    <w:rsid w:val="0015285E"/>
    <w:rsid w:val="001529C1"/>
    <w:rsid w:val="001531F6"/>
    <w:rsid w:val="00153429"/>
    <w:rsid w:val="001538A3"/>
    <w:rsid w:val="00154B32"/>
    <w:rsid w:val="00154C58"/>
    <w:rsid w:val="0015519E"/>
    <w:rsid w:val="00156529"/>
    <w:rsid w:val="00157D5C"/>
    <w:rsid w:val="00160516"/>
    <w:rsid w:val="00160553"/>
    <w:rsid w:val="001608F7"/>
    <w:rsid w:val="00160DC5"/>
    <w:rsid w:val="0016133F"/>
    <w:rsid w:val="0016149B"/>
    <w:rsid w:val="00162725"/>
    <w:rsid w:val="00162EC8"/>
    <w:rsid w:val="00163171"/>
    <w:rsid w:val="001654C1"/>
    <w:rsid w:val="00165FDC"/>
    <w:rsid w:val="0016611B"/>
    <w:rsid w:val="001662FB"/>
    <w:rsid w:val="0016663C"/>
    <w:rsid w:val="00166C41"/>
    <w:rsid w:val="00167337"/>
    <w:rsid w:val="00167C56"/>
    <w:rsid w:val="0017055A"/>
    <w:rsid w:val="001714AE"/>
    <w:rsid w:val="00171566"/>
    <w:rsid w:val="00171775"/>
    <w:rsid w:val="001718B9"/>
    <w:rsid w:val="00171BF7"/>
    <w:rsid w:val="00172A27"/>
    <w:rsid w:val="001742B5"/>
    <w:rsid w:val="00174CD9"/>
    <w:rsid w:val="0017555D"/>
    <w:rsid w:val="001755F8"/>
    <w:rsid w:val="00176426"/>
    <w:rsid w:val="0017655A"/>
    <w:rsid w:val="00180957"/>
    <w:rsid w:val="00181C1E"/>
    <w:rsid w:val="00181EBD"/>
    <w:rsid w:val="001836F0"/>
    <w:rsid w:val="00183794"/>
    <w:rsid w:val="00184439"/>
    <w:rsid w:val="001847D4"/>
    <w:rsid w:val="00185691"/>
    <w:rsid w:val="0018661A"/>
    <w:rsid w:val="0018722C"/>
    <w:rsid w:val="0018734C"/>
    <w:rsid w:val="00187A15"/>
    <w:rsid w:val="00187BDA"/>
    <w:rsid w:val="00187F06"/>
    <w:rsid w:val="001907B1"/>
    <w:rsid w:val="00190AC0"/>
    <w:rsid w:val="00190DDB"/>
    <w:rsid w:val="00190E38"/>
    <w:rsid w:val="001911B1"/>
    <w:rsid w:val="00193234"/>
    <w:rsid w:val="001938FD"/>
    <w:rsid w:val="001957B8"/>
    <w:rsid w:val="00195D35"/>
    <w:rsid w:val="00197D87"/>
    <w:rsid w:val="001A2501"/>
    <w:rsid w:val="001A2CF6"/>
    <w:rsid w:val="001A41B3"/>
    <w:rsid w:val="001A4C93"/>
    <w:rsid w:val="001A50F3"/>
    <w:rsid w:val="001A74BB"/>
    <w:rsid w:val="001A7C26"/>
    <w:rsid w:val="001A7E35"/>
    <w:rsid w:val="001A7F45"/>
    <w:rsid w:val="001B08B5"/>
    <w:rsid w:val="001B0B41"/>
    <w:rsid w:val="001B1578"/>
    <w:rsid w:val="001B18D1"/>
    <w:rsid w:val="001B1D59"/>
    <w:rsid w:val="001B1DAB"/>
    <w:rsid w:val="001B22A8"/>
    <w:rsid w:val="001B2403"/>
    <w:rsid w:val="001B3CEF"/>
    <w:rsid w:val="001B4C4B"/>
    <w:rsid w:val="001B4F30"/>
    <w:rsid w:val="001B68A0"/>
    <w:rsid w:val="001B6D04"/>
    <w:rsid w:val="001B7204"/>
    <w:rsid w:val="001B72EA"/>
    <w:rsid w:val="001B79CF"/>
    <w:rsid w:val="001B7C56"/>
    <w:rsid w:val="001C0FAF"/>
    <w:rsid w:val="001C14A8"/>
    <w:rsid w:val="001C1976"/>
    <w:rsid w:val="001C2841"/>
    <w:rsid w:val="001C2BD4"/>
    <w:rsid w:val="001C39E7"/>
    <w:rsid w:val="001C4059"/>
    <w:rsid w:val="001C456C"/>
    <w:rsid w:val="001C5807"/>
    <w:rsid w:val="001C6089"/>
    <w:rsid w:val="001C7C5A"/>
    <w:rsid w:val="001D0839"/>
    <w:rsid w:val="001D0869"/>
    <w:rsid w:val="001D0C53"/>
    <w:rsid w:val="001D18FC"/>
    <w:rsid w:val="001D1B4A"/>
    <w:rsid w:val="001D2FDC"/>
    <w:rsid w:val="001D4986"/>
    <w:rsid w:val="001D49ED"/>
    <w:rsid w:val="001D7D6D"/>
    <w:rsid w:val="001E0D03"/>
    <w:rsid w:val="001E3518"/>
    <w:rsid w:val="001E3C56"/>
    <w:rsid w:val="001E3CDA"/>
    <w:rsid w:val="001E6DC9"/>
    <w:rsid w:val="001E7339"/>
    <w:rsid w:val="001F0AEA"/>
    <w:rsid w:val="001F1691"/>
    <w:rsid w:val="001F217A"/>
    <w:rsid w:val="001F3233"/>
    <w:rsid w:val="001F34A1"/>
    <w:rsid w:val="001F4611"/>
    <w:rsid w:val="001F4A97"/>
    <w:rsid w:val="001F4B98"/>
    <w:rsid w:val="001F74D0"/>
    <w:rsid w:val="002004D6"/>
    <w:rsid w:val="00201AF6"/>
    <w:rsid w:val="00203327"/>
    <w:rsid w:val="00203400"/>
    <w:rsid w:val="00204688"/>
    <w:rsid w:val="00205233"/>
    <w:rsid w:val="00205492"/>
    <w:rsid w:val="00206446"/>
    <w:rsid w:val="002066FE"/>
    <w:rsid w:val="002101AD"/>
    <w:rsid w:val="002121D9"/>
    <w:rsid w:val="00214A1D"/>
    <w:rsid w:val="00214A9F"/>
    <w:rsid w:val="00214B39"/>
    <w:rsid w:val="00215FDD"/>
    <w:rsid w:val="0021660F"/>
    <w:rsid w:val="00216FAC"/>
    <w:rsid w:val="00217B10"/>
    <w:rsid w:val="0022004A"/>
    <w:rsid w:val="00221832"/>
    <w:rsid w:val="0022193B"/>
    <w:rsid w:val="00221A31"/>
    <w:rsid w:val="002229F7"/>
    <w:rsid w:val="002231A6"/>
    <w:rsid w:val="00224B61"/>
    <w:rsid w:val="0022612E"/>
    <w:rsid w:val="0022613E"/>
    <w:rsid w:val="00227D73"/>
    <w:rsid w:val="00230075"/>
    <w:rsid w:val="0023065E"/>
    <w:rsid w:val="00230D04"/>
    <w:rsid w:val="002317B3"/>
    <w:rsid w:val="00232346"/>
    <w:rsid w:val="00232395"/>
    <w:rsid w:val="00232FDE"/>
    <w:rsid w:val="002330EF"/>
    <w:rsid w:val="002339E5"/>
    <w:rsid w:val="00234651"/>
    <w:rsid w:val="002350FA"/>
    <w:rsid w:val="00236B09"/>
    <w:rsid w:val="0023729F"/>
    <w:rsid w:val="00237F6A"/>
    <w:rsid w:val="00240703"/>
    <w:rsid w:val="00240E8A"/>
    <w:rsid w:val="00241822"/>
    <w:rsid w:val="00241DA7"/>
    <w:rsid w:val="00242077"/>
    <w:rsid w:val="00244D9E"/>
    <w:rsid w:val="00244EE1"/>
    <w:rsid w:val="00245046"/>
    <w:rsid w:val="00245E50"/>
    <w:rsid w:val="00246649"/>
    <w:rsid w:val="00246B98"/>
    <w:rsid w:val="00246F17"/>
    <w:rsid w:val="002473D5"/>
    <w:rsid w:val="00247719"/>
    <w:rsid w:val="00250C54"/>
    <w:rsid w:val="00251BDD"/>
    <w:rsid w:val="002523CF"/>
    <w:rsid w:val="002525FF"/>
    <w:rsid w:val="0025278A"/>
    <w:rsid w:val="0025366C"/>
    <w:rsid w:val="002539B4"/>
    <w:rsid w:val="002542B4"/>
    <w:rsid w:val="00255860"/>
    <w:rsid w:val="00256C97"/>
    <w:rsid w:val="00256FEC"/>
    <w:rsid w:val="00257AEE"/>
    <w:rsid w:val="002604BB"/>
    <w:rsid w:val="00260B2E"/>
    <w:rsid w:val="00261756"/>
    <w:rsid w:val="0026192D"/>
    <w:rsid w:val="0026464D"/>
    <w:rsid w:val="00264CA4"/>
    <w:rsid w:val="002666C8"/>
    <w:rsid w:val="00267007"/>
    <w:rsid w:val="00267141"/>
    <w:rsid w:val="00267E0A"/>
    <w:rsid w:val="0027098D"/>
    <w:rsid w:val="00270A4C"/>
    <w:rsid w:val="00270EE0"/>
    <w:rsid w:val="0027208D"/>
    <w:rsid w:val="00273DF0"/>
    <w:rsid w:val="00274C93"/>
    <w:rsid w:val="002758C6"/>
    <w:rsid w:val="00277BA7"/>
    <w:rsid w:val="002813C2"/>
    <w:rsid w:val="00281784"/>
    <w:rsid w:val="00281B7F"/>
    <w:rsid w:val="002823D8"/>
    <w:rsid w:val="00285C75"/>
    <w:rsid w:val="00285F87"/>
    <w:rsid w:val="00290D0B"/>
    <w:rsid w:val="00290FF4"/>
    <w:rsid w:val="00292F38"/>
    <w:rsid w:val="002935E1"/>
    <w:rsid w:val="0029363A"/>
    <w:rsid w:val="00293864"/>
    <w:rsid w:val="00293CD4"/>
    <w:rsid w:val="00294AAD"/>
    <w:rsid w:val="002956CE"/>
    <w:rsid w:val="00295C35"/>
    <w:rsid w:val="00295E7A"/>
    <w:rsid w:val="00296146"/>
    <w:rsid w:val="002962D9"/>
    <w:rsid w:val="00297863"/>
    <w:rsid w:val="00297D0C"/>
    <w:rsid w:val="002A0A4C"/>
    <w:rsid w:val="002A150B"/>
    <w:rsid w:val="002A22B9"/>
    <w:rsid w:val="002A273F"/>
    <w:rsid w:val="002A30A2"/>
    <w:rsid w:val="002A347F"/>
    <w:rsid w:val="002A3F6E"/>
    <w:rsid w:val="002A44AF"/>
    <w:rsid w:val="002A4ABB"/>
    <w:rsid w:val="002A4B81"/>
    <w:rsid w:val="002A59C3"/>
    <w:rsid w:val="002A626E"/>
    <w:rsid w:val="002A76F0"/>
    <w:rsid w:val="002B016C"/>
    <w:rsid w:val="002B3B55"/>
    <w:rsid w:val="002B489C"/>
    <w:rsid w:val="002B601F"/>
    <w:rsid w:val="002B6302"/>
    <w:rsid w:val="002B643A"/>
    <w:rsid w:val="002B64B1"/>
    <w:rsid w:val="002B6FA2"/>
    <w:rsid w:val="002C00C6"/>
    <w:rsid w:val="002C1180"/>
    <w:rsid w:val="002C268F"/>
    <w:rsid w:val="002C2A40"/>
    <w:rsid w:val="002C37E6"/>
    <w:rsid w:val="002C41E1"/>
    <w:rsid w:val="002C5462"/>
    <w:rsid w:val="002C5B44"/>
    <w:rsid w:val="002C5FA1"/>
    <w:rsid w:val="002C713E"/>
    <w:rsid w:val="002C7161"/>
    <w:rsid w:val="002C75CF"/>
    <w:rsid w:val="002C7B84"/>
    <w:rsid w:val="002D1444"/>
    <w:rsid w:val="002D214D"/>
    <w:rsid w:val="002D2A67"/>
    <w:rsid w:val="002D3117"/>
    <w:rsid w:val="002D4844"/>
    <w:rsid w:val="002D622B"/>
    <w:rsid w:val="002D62A5"/>
    <w:rsid w:val="002D69D9"/>
    <w:rsid w:val="002D6DAF"/>
    <w:rsid w:val="002D73DB"/>
    <w:rsid w:val="002E000B"/>
    <w:rsid w:val="002E02C7"/>
    <w:rsid w:val="002E0834"/>
    <w:rsid w:val="002E1972"/>
    <w:rsid w:val="002E395B"/>
    <w:rsid w:val="002E6240"/>
    <w:rsid w:val="002E6C5A"/>
    <w:rsid w:val="002E7310"/>
    <w:rsid w:val="002E7819"/>
    <w:rsid w:val="002E7B6A"/>
    <w:rsid w:val="002E7DAF"/>
    <w:rsid w:val="002F0628"/>
    <w:rsid w:val="002F0971"/>
    <w:rsid w:val="002F0F17"/>
    <w:rsid w:val="002F1144"/>
    <w:rsid w:val="002F125D"/>
    <w:rsid w:val="002F1287"/>
    <w:rsid w:val="002F13E5"/>
    <w:rsid w:val="002F2DC7"/>
    <w:rsid w:val="002F58D1"/>
    <w:rsid w:val="002F781B"/>
    <w:rsid w:val="002F7FFB"/>
    <w:rsid w:val="0030000F"/>
    <w:rsid w:val="003004AD"/>
    <w:rsid w:val="00301218"/>
    <w:rsid w:val="003014E9"/>
    <w:rsid w:val="00301E75"/>
    <w:rsid w:val="00301FF2"/>
    <w:rsid w:val="00302165"/>
    <w:rsid w:val="00302680"/>
    <w:rsid w:val="00302A0B"/>
    <w:rsid w:val="00302B6F"/>
    <w:rsid w:val="00303158"/>
    <w:rsid w:val="003038A9"/>
    <w:rsid w:val="003039FB"/>
    <w:rsid w:val="00303C29"/>
    <w:rsid w:val="00303C8C"/>
    <w:rsid w:val="00303DB6"/>
    <w:rsid w:val="003046A9"/>
    <w:rsid w:val="00304771"/>
    <w:rsid w:val="00305B17"/>
    <w:rsid w:val="00305D5B"/>
    <w:rsid w:val="00306138"/>
    <w:rsid w:val="003062C9"/>
    <w:rsid w:val="003069A4"/>
    <w:rsid w:val="003069B1"/>
    <w:rsid w:val="00306F2C"/>
    <w:rsid w:val="00307381"/>
    <w:rsid w:val="00307A0A"/>
    <w:rsid w:val="00310477"/>
    <w:rsid w:val="00311237"/>
    <w:rsid w:val="003121D2"/>
    <w:rsid w:val="003124EF"/>
    <w:rsid w:val="0031385E"/>
    <w:rsid w:val="0031455F"/>
    <w:rsid w:val="00316F14"/>
    <w:rsid w:val="00316FAA"/>
    <w:rsid w:val="00317674"/>
    <w:rsid w:val="00317B53"/>
    <w:rsid w:val="003206F6"/>
    <w:rsid w:val="0032121D"/>
    <w:rsid w:val="0032142B"/>
    <w:rsid w:val="00321B86"/>
    <w:rsid w:val="00321E3B"/>
    <w:rsid w:val="00321E64"/>
    <w:rsid w:val="003234CF"/>
    <w:rsid w:val="003263BF"/>
    <w:rsid w:val="0032740E"/>
    <w:rsid w:val="00330186"/>
    <w:rsid w:val="003305B1"/>
    <w:rsid w:val="00330BB6"/>
    <w:rsid w:val="00330E50"/>
    <w:rsid w:val="00331500"/>
    <w:rsid w:val="00332409"/>
    <w:rsid w:val="003328BA"/>
    <w:rsid w:val="003350C9"/>
    <w:rsid w:val="003354BC"/>
    <w:rsid w:val="00335928"/>
    <w:rsid w:val="00336304"/>
    <w:rsid w:val="00337002"/>
    <w:rsid w:val="003378BA"/>
    <w:rsid w:val="003378C4"/>
    <w:rsid w:val="00337AD5"/>
    <w:rsid w:val="003408A8"/>
    <w:rsid w:val="00342825"/>
    <w:rsid w:val="00343360"/>
    <w:rsid w:val="00343D64"/>
    <w:rsid w:val="00344074"/>
    <w:rsid w:val="0034699B"/>
    <w:rsid w:val="00350457"/>
    <w:rsid w:val="00350699"/>
    <w:rsid w:val="0035168B"/>
    <w:rsid w:val="00352126"/>
    <w:rsid w:val="003524AC"/>
    <w:rsid w:val="003527B2"/>
    <w:rsid w:val="003537B3"/>
    <w:rsid w:val="00354135"/>
    <w:rsid w:val="00355062"/>
    <w:rsid w:val="00355241"/>
    <w:rsid w:val="00356BB0"/>
    <w:rsid w:val="00357AA4"/>
    <w:rsid w:val="00357EC4"/>
    <w:rsid w:val="00360AEB"/>
    <w:rsid w:val="00360D84"/>
    <w:rsid w:val="003614A2"/>
    <w:rsid w:val="003627FE"/>
    <w:rsid w:val="003638DF"/>
    <w:rsid w:val="00363AE8"/>
    <w:rsid w:val="003648CC"/>
    <w:rsid w:val="00365ACB"/>
    <w:rsid w:val="0037071E"/>
    <w:rsid w:val="00370DC1"/>
    <w:rsid w:val="00371AC0"/>
    <w:rsid w:val="003721A4"/>
    <w:rsid w:val="00372888"/>
    <w:rsid w:val="00373070"/>
    <w:rsid w:val="003737FF"/>
    <w:rsid w:val="0037499D"/>
    <w:rsid w:val="00375452"/>
    <w:rsid w:val="00375847"/>
    <w:rsid w:val="00375AC0"/>
    <w:rsid w:val="00375DBF"/>
    <w:rsid w:val="00376203"/>
    <w:rsid w:val="00376D30"/>
    <w:rsid w:val="00376F38"/>
    <w:rsid w:val="00377185"/>
    <w:rsid w:val="00377574"/>
    <w:rsid w:val="00377C2D"/>
    <w:rsid w:val="003805A8"/>
    <w:rsid w:val="00381406"/>
    <w:rsid w:val="0038207F"/>
    <w:rsid w:val="00382CA0"/>
    <w:rsid w:val="00382D06"/>
    <w:rsid w:val="00383E79"/>
    <w:rsid w:val="00384D19"/>
    <w:rsid w:val="003858A7"/>
    <w:rsid w:val="003859CE"/>
    <w:rsid w:val="00386497"/>
    <w:rsid w:val="00387151"/>
    <w:rsid w:val="00391509"/>
    <w:rsid w:val="0039261A"/>
    <w:rsid w:val="00393925"/>
    <w:rsid w:val="003939E6"/>
    <w:rsid w:val="00394700"/>
    <w:rsid w:val="00394A7C"/>
    <w:rsid w:val="0039528A"/>
    <w:rsid w:val="003959AF"/>
    <w:rsid w:val="00396A89"/>
    <w:rsid w:val="003975E7"/>
    <w:rsid w:val="0039774D"/>
    <w:rsid w:val="003A134E"/>
    <w:rsid w:val="003A147A"/>
    <w:rsid w:val="003A1604"/>
    <w:rsid w:val="003A3757"/>
    <w:rsid w:val="003A3E91"/>
    <w:rsid w:val="003A4DFF"/>
    <w:rsid w:val="003A52F6"/>
    <w:rsid w:val="003A6052"/>
    <w:rsid w:val="003A7DB7"/>
    <w:rsid w:val="003B2775"/>
    <w:rsid w:val="003B2D84"/>
    <w:rsid w:val="003B494D"/>
    <w:rsid w:val="003B4C0B"/>
    <w:rsid w:val="003B59E6"/>
    <w:rsid w:val="003B5CD6"/>
    <w:rsid w:val="003B5E68"/>
    <w:rsid w:val="003B5F77"/>
    <w:rsid w:val="003B6A84"/>
    <w:rsid w:val="003C0300"/>
    <w:rsid w:val="003C052A"/>
    <w:rsid w:val="003C195E"/>
    <w:rsid w:val="003C20C5"/>
    <w:rsid w:val="003C2733"/>
    <w:rsid w:val="003C40EE"/>
    <w:rsid w:val="003C4B19"/>
    <w:rsid w:val="003C4B9A"/>
    <w:rsid w:val="003C4D22"/>
    <w:rsid w:val="003C4E95"/>
    <w:rsid w:val="003C4F14"/>
    <w:rsid w:val="003C4FA0"/>
    <w:rsid w:val="003C516A"/>
    <w:rsid w:val="003C51D0"/>
    <w:rsid w:val="003C5ACC"/>
    <w:rsid w:val="003C6C74"/>
    <w:rsid w:val="003C752F"/>
    <w:rsid w:val="003D0A5B"/>
    <w:rsid w:val="003D0D39"/>
    <w:rsid w:val="003D1582"/>
    <w:rsid w:val="003D168A"/>
    <w:rsid w:val="003D17F3"/>
    <w:rsid w:val="003D1EE4"/>
    <w:rsid w:val="003D2A1D"/>
    <w:rsid w:val="003D2A6D"/>
    <w:rsid w:val="003D308F"/>
    <w:rsid w:val="003D32AF"/>
    <w:rsid w:val="003D34F9"/>
    <w:rsid w:val="003D3D0C"/>
    <w:rsid w:val="003D5E7C"/>
    <w:rsid w:val="003D6109"/>
    <w:rsid w:val="003D66CB"/>
    <w:rsid w:val="003D75A9"/>
    <w:rsid w:val="003D794D"/>
    <w:rsid w:val="003D7FC2"/>
    <w:rsid w:val="003E05AA"/>
    <w:rsid w:val="003E0A84"/>
    <w:rsid w:val="003E118B"/>
    <w:rsid w:val="003E1AAC"/>
    <w:rsid w:val="003E28BA"/>
    <w:rsid w:val="003E2BEB"/>
    <w:rsid w:val="003E2CD5"/>
    <w:rsid w:val="003E590B"/>
    <w:rsid w:val="003E59DF"/>
    <w:rsid w:val="003E5D4D"/>
    <w:rsid w:val="003E6168"/>
    <w:rsid w:val="003E7CEC"/>
    <w:rsid w:val="003F1958"/>
    <w:rsid w:val="003F23E7"/>
    <w:rsid w:val="003F2CBF"/>
    <w:rsid w:val="003F2D88"/>
    <w:rsid w:val="003F74CA"/>
    <w:rsid w:val="003F7699"/>
    <w:rsid w:val="0040033B"/>
    <w:rsid w:val="004007AF"/>
    <w:rsid w:val="00400A4A"/>
    <w:rsid w:val="004012EA"/>
    <w:rsid w:val="00401E94"/>
    <w:rsid w:val="00402DA9"/>
    <w:rsid w:val="00403216"/>
    <w:rsid w:val="004034CC"/>
    <w:rsid w:val="00403C64"/>
    <w:rsid w:val="004045DA"/>
    <w:rsid w:val="004055FD"/>
    <w:rsid w:val="0040567A"/>
    <w:rsid w:val="00406CF2"/>
    <w:rsid w:val="004104DD"/>
    <w:rsid w:val="00410C19"/>
    <w:rsid w:val="004114F7"/>
    <w:rsid w:val="004118D2"/>
    <w:rsid w:val="00411FE9"/>
    <w:rsid w:val="00413839"/>
    <w:rsid w:val="00413D36"/>
    <w:rsid w:val="004156C7"/>
    <w:rsid w:val="004157BE"/>
    <w:rsid w:val="00415FCC"/>
    <w:rsid w:val="00416363"/>
    <w:rsid w:val="00416870"/>
    <w:rsid w:val="004175C1"/>
    <w:rsid w:val="004179E1"/>
    <w:rsid w:val="00420370"/>
    <w:rsid w:val="00421CBF"/>
    <w:rsid w:val="00421D59"/>
    <w:rsid w:val="0042515D"/>
    <w:rsid w:val="00425388"/>
    <w:rsid w:val="00431EE9"/>
    <w:rsid w:val="0043226E"/>
    <w:rsid w:val="004322A0"/>
    <w:rsid w:val="004328D5"/>
    <w:rsid w:val="00432AC0"/>
    <w:rsid w:val="00432EE5"/>
    <w:rsid w:val="004333A2"/>
    <w:rsid w:val="004366B1"/>
    <w:rsid w:val="0044062A"/>
    <w:rsid w:val="004406E4"/>
    <w:rsid w:val="00440B86"/>
    <w:rsid w:val="00440C61"/>
    <w:rsid w:val="00441282"/>
    <w:rsid w:val="00441B11"/>
    <w:rsid w:val="00442238"/>
    <w:rsid w:val="0044596B"/>
    <w:rsid w:val="00446A29"/>
    <w:rsid w:val="00447413"/>
    <w:rsid w:val="00447C6C"/>
    <w:rsid w:val="00450AD7"/>
    <w:rsid w:val="00450D5D"/>
    <w:rsid w:val="00452025"/>
    <w:rsid w:val="00452043"/>
    <w:rsid w:val="00453D6F"/>
    <w:rsid w:val="00454083"/>
    <w:rsid w:val="00454679"/>
    <w:rsid w:val="0045476A"/>
    <w:rsid w:val="004558A6"/>
    <w:rsid w:val="00456AA5"/>
    <w:rsid w:val="00457A9A"/>
    <w:rsid w:val="00457E95"/>
    <w:rsid w:val="004609E7"/>
    <w:rsid w:val="00460B3A"/>
    <w:rsid w:val="00461212"/>
    <w:rsid w:val="00462CFA"/>
    <w:rsid w:val="004634CE"/>
    <w:rsid w:val="00464117"/>
    <w:rsid w:val="00464688"/>
    <w:rsid w:val="004648F4"/>
    <w:rsid w:val="00464C76"/>
    <w:rsid w:val="004653E4"/>
    <w:rsid w:val="00465E81"/>
    <w:rsid w:val="00466262"/>
    <w:rsid w:val="0046711B"/>
    <w:rsid w:val="0046742E"/>
    <w:rsid w:val="00470D87"/>
    <w:rsid w:val="00472967"/>
    <w:rsid w:val="00473353"/>
    <w:rsid w:val="004737B8"/>
    <w:rsid w:val="004742F9"/>
    <w:rsid w:val="00475099"/>
    <w:rsid w:val="00475429"/>
    <w:rsid w:val="0047654F"/>
    <w:rsid w:val="004777F2"/>
    <w:rsid w:val="00477F69"/>
    <w:rsid w:val="00480777"/>
    <w:rsid w:val="004809B9"/>
    <w:rsid w:val="00481341"/>
    <w:rsid w:val="004814A1"/>
    <w:rsid w:val="0048193B"/>
    <w:rsid w:val="0048232A"/>
    <w:rsid w:val="00482715"/>
    <w:rsid w:val="004838D7"/>
    <w:rsid w:val="00483A59"/>
    <w:rsid w:val="0048410D"/>
    <w:rsid w:val="004847C1"/>
    <w:rsid w:val="00484EE7"/>
    <w:rsid w:val="004855C7"/>
    <w:rsid w:val="00485889"/>
    <w:rsid w:val="00485CA5"/>
    <w:rsid w:val="004866A2"/>
    <w:rsid w:val="00486705"/>
    <w:rsid w:val="004900EC"/>
    <w:rsid w:val="00490A30"/>
    <w:rsid w:val="00490C6B"/>
    <w:rsid w:val="00491079"/>
    <w:rsid w:val="0049247C"/>
    <w:rsid w:val="00493671"/>
    <w:rsid w:val="00493DA2"/>
    <w:rsid w:val="00494102"/>
    <w:rsid w:val="004941C5"/>
    <w:rsid w:val="00495A06"/>
    <w:rsid w:val="00495C33"/>
    <w:rsid w:val="004A063D"/>
    <w:rsid w:val="004A1904"/>
    <w:rsid w:val="004A2767"/>
    <w:rsid w:val="004A3006"/>
    <w:rsid w:val="004A3076"/>
    <w:rsid w:val="004A380B"/>
    <w:rsid w:val="004A393B"/>
    <w:rsid w:val="004A3B41"/>
    <w:rsid w:val="004A3BB9"/>
    <w:rsid w:val="004A3CD1"/>
    <w:rsid w:val="004A4146"/>
    <w:rsid w:val="004A4746"/>
    <w:rsid w:val="004A4792"/>
    <w:rsid w:val="004A4827"/>
    <w:rsid w:val="004A4917"/>
    <w:rsid w:val="004A4A2A"/>
    <w:rsid w:val="004A572E"/>
    <w:rsid w:val="004A6040"/>
    <w:rsid w:val="004B0941"/>
    <w:rsid w:val="004B0EC1"/>
    <w:rsid w:val="004B1AED"/>
    <w:rsid w:val="004B21A5"/>
    <w:rsid w:val="004B3B10"/>
    <w:rsid w:val="004B3B7F"/>
    <w:rsid w:val="004B5601"/>
    <w:rsid w:val="004B5A5D"/>
    <w:rsid w:val="004B5BC1"/>
    <w:rsid w:val="004B5D90"/>
    <w:rsid w:val="004B7C97"/>
    <w:rsid w:val="004C0031"/>
    <w:rsid w:val="004C09B4"/>
    <w:rsid w:val="004C09DD"/>
    <w:rsid w:val="004C0BC8"/>
    <w:rsid w:val="004C20A1"/>
    <w:rsid w:val="004C2B4E"/>
    <w:rsid w:val="004C3799"/>
    <w:rsid w:val="004C444F"/>
    <w:rsid w:val="004C59DB"/>
    <w:rsid w:val="004C6BD2"/>
    <w:rsid w:val="004C72F5"/>
    <w:rsid w:val="004C7531"/>
    <w:rsid w:val="004D0202"/>
    <w:rsid w:val="004D0543"/>
    <w:rsid w:val="004D0D07"/>
    <w:rsid w:val="004D190E"/>
    <w:rsid w:val="004D20F5"/>
    <w:rsid w:val="004D30CB"/>
    <w:rsid w:val="004D6A32"/>
    <w:rsid w:val="004D750D"/>
    <w:rsid w:val="004D753D"/>
    <w:rsid w:val="004D7AFA"/>
    <w:rsid w:val="004E0707"/>
    <w:rsid w:val="004E0842"/>
    <w:rsid w:val="004E1011"/>
    <w:rsid w:val="004E1022"/>
    <w:rsid w:val="004E145B"/>
    <w:rsid w:val="004E20E3"/>
    <w:rsid w:val="004E271B"/>
    <w:rsid w:val="004E3683"/>
    <w:rsid w:val="004E3974"/>
    <w:rsid w:val="004E3A5C"/>
    <w:rsid w:val="004E4F25"/>
    <w:rsid w:val="004E55E4"/>
    <w:rsid w:val="004E711A"/>
    <w:rsid w:val="004E73B9"/>
    <w:rsid w:val="004E7A42"/>
    <w:rsid w:val="004E7FCB"/>
    <w:rsid w:val="004F02A2"/>
    <w:rsid w:val="004F0575"/>
    <w:rsid w:val="004F0964"/>
    <w:rsid w:val="004F138C"/>
    <w:rsid w:val="004F141F"/>
    <w:rsid w:val="004F1531"/>
    <w:rsid w:val="004F1E1C"/>
    <w:rsid w:val="004F2107"/>
    <w:rsid w:val="004F2CF4"/>
    <w:rsid w:val="004F372D"/>
    <w:rsid w:val="004F3A29"/>
    <w:rsid w:val="004F503A"/>
    <w:rsid w:val="004F6400"/>
    <w:rsid w:val="004F7BC2"/>
    <w:rsid w:val="004F7F58"/>
    <w:rsid w:val="005012FE"/>
    <w:rsid w:val="0050289F"/>
    <w:rsid w:val="005028C7"/>
    <w:rsid w:val="00503535"/>
    <w:rsid w:val="0050373A"/>
    <w:rsid w:val="005049A1"/>
    <w:rsid w:val="00504E3C"/>
    <w:rsid w:val="00505319"/>
    <w:rsid w:val="00507437"/>
    <w:rsid w:val="0051175B"/>
    <w:rsid w:val="00512B5D"/>
    <w:rsid w:val="00512C04"/>
    <w:rsid w:val="00512D25"/>
    <w:rsid w:val="00513D8A"/>
    <w:rsid w:val="00514006"/>
    <w:rsid w:val="005145F0"/>
    <w:rsid w:val="00515211"/>
    <w:rsid w:val="0051543C"/>
    <w:rsid w:val="005154D7"/>
    <w:rsid w:val="00515F0D"/>
    <w:rsid w:val="00517839"/>
    <w:rsid w:val="0052180E"/>
    <w:rsid w:val="00521BC8"/>
    <w:rsid w:val="0052357D"/>
    <w:rsid w:val="005238C6"/>
    <w:rsid w:val="0052463C"/>
    <w:rsid w:val="00526EDD"/>
    <w:rsid w:val="005276B0"/>
    <w:rsid w:val="00527FA3"/>
    <w:rsid w:val="00530451"/>
    <w:rsid w:val="005305E2"/>
    <w:rsid w:val="00530E85"/>
    <w:rsid w:val="00531C42"/>
    <w:rsid w:val="00532146"/>
    <w:rsid w:val="00532344"/>
    <w:rsid w:val="00532B98"/>
    <w:rsid w:val="005332E6"/>
    <w:rsid w:val="00533FBD"/>
    <w:rsid w:val="005351B0"/>
    <w:rsid w:val="005361E5"/>
    <w:rsid w:val="005373FE"/>
    <w:rsid w:val="0053753B"/>
    <w:rsid w:val="00537C0A"/>
    <w:rsid w:val="00537F53"/>
    <w:rsid w:val="00540749"/>
    <w:rsid w:val="00540FB8"/>
    <w:rsid w:val="00541706"/>
    <w:rsid w:val="00542B6F"/>
    <w:rsid w:val="00542C64"/>
    <w:rsid w:val="00543895"/>
    <w:rsid w:val="00543CF7"/>
    <w:rsid w:val="00544776"/>
    <w:rsid w:val="00544C60"/>
    <w:rsid w:val="005451B6"/>
    <w:rsid w:val="00545B73"/>
    <w:rsid w:val="00545CF6"/>
    <w:rsid w:val="00546BB4"/>
    <w:rsid w:val="00546D3D"/>
    <w:rsid w:val="00547414"/>
    <w:rsid w:val="00547427"/>
    <w:rsid w:val="005476BF"/>
    <w:rsid w:val="00551551"/>
    <w:rsid w:val="00551A9E"/>
    <w:rsid w:val="005527AA"/>
    <w:rsid w:val="00552BA6"/>
    <w:rsid w:val="00552E08"/>
    <w:rsid w:val="00554D96"/>
    <w:rsid w:val="00554E57"/>
    <w:rsid w:val="00554F21"/>
    <w:rsid w:val="00555D8D"/>
    <w:rsid w:val="00556EB3"/>
    <w:rsid w:val="0056006E"/>
    <w:rsid w:val="00560890"/>
    <w:rsid w:val="00560C63"/>
    <w:rsid w:val="005618FF"/>
    <w:rsid w:val="00561CE0"/>
    <w:rsid w:val="005628B4"/>
    <w:rsid w:val="00562E5F"/>
    <w:rsid w:val="005631FA"/>
    <w:rsid w:val="00563943"/>
    <w:rsid w:val="00565753"/>
    <w:rsid w:val="00567E95"/>
    <w:rsid w:val="005705C7"/>
    <w:rsid w:val="00570C28"/>
    <w:rsid w:val="00571DB8"/>
    <w:rsid w:val="00572D35"/>
    <w:rsid w:val="005741B6"/>
    <w:rsid w:val="00574387"/>
    <w:rsid w:val="005749A5"/>
    <w:rsid w:val="00574B4A"/>
    <w:rsid w:val="005758F0"/>
    <w:rsid w:val="00575DD0"/>
    <w:rsid w:val="0057647D"/>
    <w:rsid w:val="00576841"/>
    <w:rsid w:val="00576FC3"/>
    <w:rsid w:val="00577162"/>
    <w:rsid w:val="005778B4"/>
    <w:rsid w:val="00577F45"/>
    <w:rsid w:val="005803E0"/>
    <w:rsid w:val="00581B44"/>
    <w:rsid w:val="00581E77"/>
    <w:rsid w:val="0058291F"/>
    <w:rsid w:val="00583679"/>
    <w:rsid w:val="00584393"/>
    <w:rsid w:val="00585E67"/>
    <w:rsid w:val="00587837"/>
    <w:rsid w:val="005879A6"/>
    <w:rsid w:val="0059080A"/>
    <w:rsid w:val="00590879"/>
    <w:rsid w:val="005912C8"/>
    <w:rsid w:val="00591D08"/>
    <w:rsid w:val="0059384E"/>
    <w:rsid w:val="00593D7B"/>
    <w:rsid w:val="00595601"/>
    <w:rsid w:val="00595EAB"/>
    <w:rsid w:val="005960DF"/>
    <w:rsid w:val="00596551"/>
    <w:rsid w:val="00596A43"/>
    <w:rsid w:val="0059718C"/>
    <w:rsid w:val="005A0041"/>
    <w:rsid w:val="005A0466"/>
    <w:rsid w:val="005A105E"/>
    <w:rsid w:val="005A10FB"/>
    <w:rsid w:val="005A1633"/>
    <w:rsid w:val="005A1C31"/>
    <w:rsid w:val="005A1DC2"/>
    <w:rsid w:val="005A2C58"/>
    <w:rsid w:val="005A2E88"/>
    <w:rsid w:val="005A3E90"/>
    <w:rsid w:val="005A4A85"/>
    <w:rsid w:val="005A4B8C"/>
    <w:rsid w:val="005A5975"/>
    <w:rsid w:val="005A796C"/>
    <w:rsid w:val="005B018D"/>
    <w:rsid w:val="005B0337"/>
    <w:rsid w:val="005B04C5"/>
    <w:rsid w:val="005B0A75"/>
    <w:rsid w:val="005B0B28"/>
    <w:rsid w:val="005B17C8"/>
    <w:rsid w:val="005B1D8E"/>
    <w:rsid w:val="005B1F34"/>
    <w:rsid w:val="005B230A"/>
    <w:rsid w:val="005B38C9"/>
    <w:rsid w:val="005B3938"/>
    <w:rsid w:val="005B43D7"/>
    <w:rsid w:val="005B5AD6"/>
    <w:rsid w:val="005B70DC"/>
    <w:rsid w:val="005B79C3"/>
    <w:rsid w:val="005C0C5A"/>
    <w:rsid w:val="005C111F"/>
    <w:rsid w:val="005C1CFD"/>
    <w:rsid w:val="005C4E7C"/>
    <w:rsid w:val="005C537A"/>
    <w:rsid w:val="005C5F9D"/>
    <w:rsid w:val="005C6881"/>
    <w:rsid w:val="005C75E0"/>
    <w:rsid w:val="005C7B01"/>
    <w:rsid w:val="005C7D78"/>
    <w:rsid w:val="005D0AEA"/>
    <w:rsid w:val="005D0E94"/>
    <w:rsid w:val="005D125B"/>
    <w:rsid w:val="005D14EE"/>
    <w:rsid w:val="005D164C"/>
    <w:rsid w:val="005D2CD6"/>
    <w:rsid w:val="005D3169"/>
    <w:rsid w:val="005D35FE"/>
    <w:rsid w:val="005D55B0"/>
    <w:rsid w:val="005D5739"/>
    <w:rsid w:val="005D6533"/>
    <w:rsid w:val="005D7684"/>
    <w:rsid w:val="005D7F3C"/>
    <w:rsid w:val="005E12C9"/>
    <w:rsid w:val="005E14A9"/>
    <w:rsid w:val="005E21CC"/>
    <w:rsid w:val="005E2322"/>
    <w:rsid w:val="005E2720"/>
    <w:rsid w:val="005E292D"/>
    <w:rsid w:val="005E404D"/>
    <w:rsid w:val="005E40F6"/>
    <w:rsid w:val="005E423B"/>
    <w:rsid w:val="005E6E25"/>
    <w:rsid w:val="005E711D"/>
    <w:rsid w:val="005E72A3"/>
    <w:rsid w:val="005F0746"/>
    <w:rsid w:val="005F0E95"/>
    <w:rsid w:val="005F1282"/>
    <w:rsid w:val="005F13C0"/>
    <w:rsid w:val="005F2DD8"/>
    <w:rsid w:val="005F306B"/>
    <w:rsid w:val="005F3E10"/>
    <w:rsid w:val="005F41D7"/>
    <w:rsid w:val="005F4F46"/>
    <w:rsid w:val="005F5585"/>
    <w:rsid w:val="005F5E50"/>
    <w:rsid w:val="005F6080"/>
    <w:rsid w:val="005F67FC"/>
    <w:rsid w:val="005F6C9B"/>
    <w:rsid w:val="005F7437"/>
    <w:rsid w:val="005F7479"/>
    <w:rsid w:val="005F7811"/>
    <w:rsid w:val="005F7AF8"/>
    <w:rsid w:val="006001FD"/>
    <w:rsid w:val="0060020B"/>
    <w:rsid w:val="00600367"/>
    <w:rsid w:val="00600A6F"/>
    <w:rsid w:val="00601F9A"/>
    <w:rsid w:val="00603CDF"/>
    <w:rsid w:val="006040C1"/>
    <w:rsid w:val="006043DE"/>
    <w:rsid w:val="00604A62"/>
    <w:rsid w:val="00604EC5"/>
    <w:rsid w:val="006065B5"/>
    <w:rsid w:val="006065BE"/>
    <w:rsid w:val="0060676F"/>
    <w:rsid w:val="00607623"/>
    <w:rsid w:val="0060791D"/>
    <w:rsid w:val="00607D1E"/>
    <w:rsid w:val="00610836"/>
    <w:rsid w:val="0061432C"/>
    <w:rsid w:val="006147C1"/>
    <w:rsid w:val="00614E56"/>
    <w:rsid w:val="006151E0"/>
    <w:rsid w:val="00615222"/>
    <w:rsid w:val="0061548A"/>
    <w:rsid w:val="00615DFF"/>
    <w:rsid w:val="00621FCB"/>
    <w:rsid w:val="00622095"/>
    <w:rsid w:val="00622376"/>
    <w:rsid w:val="006227A2"/>
    <w:rsid w:val="0062290E"/>
    <w:rsid w:val="00624284"/>
    <w:rsid w:val="00624363"/>
    <w:rsid w:val="00624734"/>
    <w:rsid w:val="006278F1"/>
    <w:rsid w:val="00627C45"/>
    <w:rsid w:val="00631710"/>
    <w:rsid w:val="006317C6"/>
    <w:rsid w:val="00631FD1"/>
    <w:rsid w:val="00632359"/>
    <w:rsid w:val="00632687"/>
    <w:rsid w:val="00632A52"/>
    <w:rsid w:val="00632AB6"/>
    <w:rsid w:val="0063393D"/>
    <w:rsid w:val="00634085"/>
    <w:rsid w:val="006343F7"/>
    <w:rsid w:val="00634D5D"/>
    <w:rsid w:val="00635A3E"/>
    <w:rsid w:val="00637316"/>
    <w:rsid w:val="006379DB"/>
    <w:rsid w:val="00637DA1"/>
    <w:rsid w:val="00640539"/>
    <w:rsid w:val="00640ED3"/>
    <w:rsid w:val="00641A94"/>
    <w:rsid w:val="00641F3C"/>
    <w:rsid w:val="00642D80"/>
    <w:rsid w:val="006445AC"/>
    <w:rsid w:val="00644A02"/>
    <w:rsid w:val="00644B79"/>
    <w:rsid w:val="00651A38"/>
    <w:rsid w:val="00651CE7"/>
    <w:rsid w:val="006538E3"/>
    <w:rsid w:val="00655286"/>
    <w:rsid w:val="00655339"/>
    <w:rsid w:val="00655351"/>
    <w:rsid w:val="00655F60"/>
    <w:rsid w:val="006566EE"/>
    <w:rsid w:val="00656C9E"/>
    <w:rsid w:val="00656E6F"/>
    <w:rsid w:val="00660023"/>
    <w:rsid w:val="00660259"/>
    <w:rsid w:val="00660AFE"/>
    <w:rsid w:val="0066287E"/>
    <w:rsid w:val="00662A63"/>
    <w:rsid w:val="00662D64"/>
    <w:rsid w:val="00662EE7"/>
    <w:rsid w:val="006630C3"/>
    <w:rsid w:val="00664631"/>
    <w:rsid w:val="00664875"/>
    <w:rsid w:val="00664A28"/>
    <w:rsid w:val="0066617B"/>
    <w:rsid w:val="006662BD"/>
    <w:rsid w:val="0066742D"/>
    <w:rsid w:val="0066753E"/>
    <w:rsid w:val="0066765F"/>
    <w:rsid w:val="00670F35"/>
    <w:rsid w:val="006731A8"/>
    <w:rsid w:val="00673BD9"/>
    <w:rsid w:val="00673D5F"/>
    <w:rsid w:val="006741DD"/>
    <w:rsid w:val="00675666"/>
    <w:rsid w:val="00677336"/>
    <w:rsid w:val="00677B6B"/>
    <w:rsid w:val="00680612"/>
    <w:rsid w:val="00682057"/>
    <w:rsid w:val="006820CF"/>
    <w:rsid w:val="00682BDA"/>
    <w:rsid w:val="00682F99"/>
    <w:rsid w:val="0068457C"/>
    <w:rsid w:val="00684599"/>
    <w:rsid w:val="006857A6"/>
    <w:rsid w:val="006864B0"/>
    <w:rsid w:val="00686A5D"/>
    <w:rsid w:val="00686FBF"/>
    <w:rsid w:val="006871A1"/>
    <w:rsid w:val="00687BD0"/>
    <w:rsid w:val="0069077E"/>
    <w:rsid w:val="00692B2C"/>
    <w:rsid w:val="00693B23"/>
    <w:rsid w:val="00695158"/>
    <w:rsid w:val="00695F4D"/>
    <w:rsid w:val="006964E1"/>
    <w:rsid w:val="0069695C"/>
    <w:rsid w:val="00697087"/>
    <w:rsid w:val="006970C9"/>
    <w:rsid w:val="00697D0B"/>
    <w:rsid w:val="006A00E3"/>
    <w:rsid w:val="006A40EC"/>
    <w:rsid w:val="006A4529"/>
    <w:rsid w:val="006A4F59"/>
    <w:rsid w:val="006A5C11"/>
    <w:rsid w:val="006A5DFD"/>
    <w:rsid w:val="006A6CA2"/>
    <w:rsid w:val="006A6D4D"/>
    <w:rsid w:val="006A6E0A"/>
    <w:rsid w:val="006A7083"/>
    <w:rsid w:val="006A7EE1"/>
    <w:rsid w:val="006B1013"/>
    <w:rsid w:val="006B41A4"/>
    <w:rsid w:val="006B44D2"/>
    <w:rsid w:val="006B5034"/>
    <w:rsid w:val="006B5A8C"/>
    <w:rsid w:val="006B643F"/>
    <w:rsid w:val="006B68D2"/>
    <w:rsid w:val="006B6A2E"/>
    <w:rsid w:val="006B73C5"/>
    <w:rsid w:val="006C0A20"/>
    <w:rsid w:val="006C111A"/>
    <w:rsid w:val="006C1820"/>
    <w:rsid w:val="006C2964"/>
    <w:rsid w:val="006C2BC1"/>
    <w:rsid w:val="006C3913"/>
    <w:rsid w:val="006C3A9F"/>
    <w:rsid w:val="006D0054"/>
    <w:rsid w:val="006D1059"/>
    <w:rsid w:val="006D14A3"/>
    <w:rsid w:val="006D185E"/>
    <w:rsid w:val="006D1B78"/>
    <w:rsid w:val="006D20DD"/>
    <w:rsid w:val="006D24D3"/>
    <w:rsid w:val="006D25B4"/>
    <w:rsid w:val="006D281B"/>
    <w:rsid w:val="006D3084"/>
    <w:rsid w:val="006D3AA9"/>
    <w:rsid w:val="006D3DB3"/>
    <w:rsid w:val="006D47D5"/>
    <w:rsid w:val="006D4C27"/>
    <w:rsid w:val="006D4CA7"/>
    <w:rsid w:val="006D591B"/>
    <w:rsid w:val="006D68A0"/>
    <w:rsid w:val="006D6931"/>
    <w:rsid w:val="006D76E8"/>
    <w:rsid w:val="006D77D7"/>
    <w:rsid w:val="006E003A"/>
    <w:rsid w:val="006E03AC"/>
    <w:rsid w:val="006E0704"/>
    <w:rsid w:val="006E128B"/>
    <w:rsid w:val="006E14FA"/>
    <w:rsid w:val="006E2DB3"/>
    <w:rsid w:val="006E2E05"/>
    <w:rsid w:val="006E31C0"/>
    <w:rsid w:val="006E3436"/>
    <w:rsid w:val="006E3722"/>
    <w:rsid w:val="006E4646"/>
    <w:rsid w:val="006E4838"/>
    <w:rsid w:val="006E6FAF"/>
    <w:rsid w:val="006E6FC0"/>
    <w:rsid w:val="006F0A94"/>
    <w:rsid w:val="006F161C"/>
    <w:rsid w:val="006F21EF"/>
    <w:rsid w:val="006F275B"/>
    <w:rsid w:val="006F32D3"/>
    <w:rsid w:val="006F3FC4"/>
    <w:rsid w:val="006F43D4"/>
    <w:rsid w:val="006F4730"/>
    <w:rsid w:val="006F5022"/>
    <w:rsid w:val="006F5673"/>
    <w:rsid w:val="006F6487"/>
    <w:rsid w:val="006F648D"/>
    <w:rsid w:val="006F6B17"/>
    <w:rsid w:val="006F7A1A"/>
    <w:rsid w:val="007024A6"/>
    <w:rsid w:val="00702881"/>
    <w:rsid w:val="00702E73"/>
    <w:rsid w:val="00703A64"/>
    <w:rsid w:val="00703CF9"/>
    <w:rsid w:val="007044C8"/>
    <w:rsid w:val="00704F82"/>
    <w:rsid w:val="0070577F"/>
    <w:rsid w:val="00705B2E"/>
    <w:rsid w:val="00705C27"/>
    <w:rsid w:val="007060DF"/>
    <w:rsid w:val="00707080"/>
    <w:rsid w:val="00707282"/>
    <w:rsid w:val="00707758"/>
    <w:rsid w:val="00710A84"/>
    <w:rsid w:val="00712077"/>
    <w:rsid w:val="00712998"/>
    <w:rsid w:val="00713793"/>
    <w:rsid w:val="00713B00"/>
    <w:rsid w:val="00714019"/>
    <w:rsid w:val="00715AD0"/>
    <w:rsid w:val="00715C0E"/>
    <w:rsid w:val="00716BE8"/>
    <w:rsid w:val="00717453"/>
    <w:rsid w:val="00717880"/>
    <w:rsid w:val="00717F12"/>
    <w:rsid w:val="00720B62"/>
    <w:rsid w:val="00721179"/>
    <w:rsid w:val="007212ED"/>
    <w:rsid w:val="00721369"/>
    <w:rsid w:val="00722CC7"/>
    <w:rsid w:val="00723C2A"/>
    <w:rsid w:val="00723F51"/>
    <w:rsid w:val="007240BD"/>
    <w:rsid w:val="00724809"/>
    <w:rsid w:val="00724A08"/>
    <w:rsid w:val="00725442"/>
    <w:rsid w:val="0072709D"/>
    <w:rsid w:val="00727431"/>
    <w:rsid w:val="007276CA"/>
    <w:rsid w:val="007276DE"/>
    <w:rsid w:val="00727A22"/>
    <w:rsid w:val="00727C18"/>
    <w:rsid w:val="00730594"/>
    <w:rsid w:val="00731E01"/>
    <w:rsid w:val="00732459"/>
    <w:rsid w:val="007328F6"/>
    <w:rsid w:val="00733216"/>
    <w:rsid w:val="007333D2"/>
    <w:rsid w:val="00734608"/>
    <w:rsid w:val="00735991"/>
    <w:rsid w:val="00735DDA"/>
    <w:rsid w:val="0074050F"/>
    <w:rsid w:val="007409F3"/>
    <w:rsid w:val="007417E8"/>
    <w:rsid w:val="00741B36"/>
    <w:rsid w:val="00742D5F"/>
    <w:rsid w:val="00742D65"/>
    <w:rsid w:val="00743A6B"/>
    <w:rsid w:val="0074550D"/>
    <w:rsid w:val="00745A13"/>
    <w:rsid w:val="00745F40"/>
    <w:rsid w:val="00746A5E"/>
    <w:rsid w:val="00746B1C"/>
    <w:rsid w:val="00746C0B"/>
    <w:rsid w:val="00752933"/>
    <w:rsid w:val="00753B01"/>
    <w:rsid w:val="0075411B"/>
    <w:rsid w:val="00755837"/>
    <w:rsid w:val="007575AE"/>
    <w:rsid w:val="00760359"/>
    <w:rsid w:val="007605A8"/>
    <w:rsid w:val="0076062A"/>
    <w:rsid w:val="00762276"/>
    <w:rsid w:val="00764D4B"/>
    <w:rsid w:val="00766846"/>
    <w:rsid w:val="00766BC3"/>
    <w:rsid w:val="00766C39"/>
    <w:rsid w:val="007678C3"/>
    <w:rsid w:val="007709CC"/>
    <w:rsid w:val="00770E87"/>
    <w:rsid w:val="00771CFF"/>
    <w:rsid w:val="00772AA5"/>
    <w:rsid w:val="007732FE"/>
    <w:rsid w:val="00773B9C"/>
    <w:rsid w:val="00774A21"/>
    <w:rsid w:val="00774C85"/>
    <w:rsid w:val="00776347"/>
    <w:rsid w:val="007772EF"/>
    <w:rsid w:val="00777DEF"/>
    <w:rsid w:val="00777F22"/>
    <w:rsid w:val="00781426"/>
    <w:rsid w:val="00781571"/>
    <w:rsid w:val="00781686"/>
    <w:rsid w:val="007817B0"/>
    <w:rsid w:val="00782C2D"/>
    <w:rsid w:val="00783103"/>
    <w:rsid w:val="00783396"/>
    <w:rsid w:val="007845F9"/>
    <w:rsid w:val="007849D8"/>
    <w:rsid w:val="00784FFF"/>
    <w:rsid w:val="00785995"/>
    <w:rsid w:val="0078690A"/>
    <w:rsid w:val="00786C76"/>
    <w:rsid w:val="007870DE"/>
    <w:rsid w:val="00787942"/>
    <w:rsid w:val="00787D42"/>
    <w:rsid w:val="007909E2"/>
    <w:rsid w:val="00790CBB"/>
    <w:rsid w:val="007916D4"/>
    <w:rsid w:val="00793647"/>
    <w:rsid w:val="00793D8E"/>
    <w:rsid w:val="0079473F"/>
    <w:rsid w:val="00795BA4"/>
    <w:rsid w:val="00795DD4"/>
    <w:rsid w:val="007961F2"/>
    <w:rsid w:val="00796FFD"/>
    <w:rsid w:val="007A16BE"/>
    <w:rsid w:val="007A2767"/>
    <w:rsid w:val="007A308E"/>
    <w:rsid w:val="007A3409"/>
    <w:rsid w:val="007A368E"/>
    <w:rsid w:val="007A44CE"/>
    <w:rsid w:val="007A48CC"/>
    <w:rsid w:val="007A4B46"/>
    <w:rsid w:val="007A53C5"/>
    <w:rsid w:val="007A5A48"/>
    <w:rsid w:val="007A6544"/>
    <w:rsid w:val="007A7331"/>
    <w:rsid w:val="007A7577"/>
    <w:rsid w:val="007B0992"/>
    <w:rsid w:val="007B0E52"/>
    <w:rsid w:val="007B1715"/>
    <w:rsid w:val="007B22C4"/>
    <w:rsid w:val="007B2C6E"/>
    <w:rsid w:val="007B3162"/>
    <w:rsid w:val="007B396C"/>
    <w:rsid w:val="007B39F8"/>
    <w:rsid w:val="007B3A57"/>
    <w:rsid w:val="007B3AE2"/>
    <w:rsid w:val="007B3C55"/>
    <w:rsid w:val="007B3F16"/>
    <w:rsid w:val="007B441B"/>
    <w:rsid w:val="007B46E2"/>
    <w:rsid w:val="007B4D70"/>
    <w:rsid w:val="007B585F"/>
    <w:rsid w:val="007B5E64"/>
    <w:rsid w:val="007B6420"/>
    <w:rsid w:val="007B693E"/>
    <w:rsid w:val="007B6BFE"/>
    <w:rsid w:val="007B7EC3"/>
    <w:rsid w:val="007C0458"/>
    <w:rsid w:val="007C055F"/>
    <w:rsid w:val="007C09E3"/>
    <w:rsid w:val="007C0F83"/>
    <w:rsid w:val="007C1338"/>
    <w:rsid w:val="007C2816"/>
    <w:rsid w:val="007C315C"/>
    <w:rsid w:val="007C36AB"/>
    <w:rsid w:val="007C44B9"/>
    <w:rsid w:val="007C456F"/>
    <w:rsid w:val="007C4F94"/>
    <w:rsid w:val="007C702D"/>
    <w:rsid w:val="007D0148"/>
    <w:rsid w:val="007D05BC"/>
    <w:rsid w:val="007D0793"/>
    <w:rsid w:val="007D0B0B"/>
    <w:rsid w:val="007D144D"/>
    <w:rsid w:val="007D233D"/>
    <w:rsid w:val="007D2D09"/>
    <w:rsid w:val="007D3F9C"/>
    <w:rsid w:val="007D41CC"/>
    <w:rsid w:val="007D4529"/>
    <w:rsid w:val="007D4865"/>
    <w:rsid w:val="007D49B4"/>
    <w:rsid w:val="007D4CE8"/>
    <w:rsid w:val="007D4D1F"/>
    <w:rsid w:val="007D53E3"/>
    <w:rsid w:val="007D78AF"/>
    <w:rsid w:val="007D7DB2"/>
    <w:rsid w:val="007E01F9"/>
    <w:rsid w:val="007E031F"/>
    <w:rsid w:val="007E04F3"/>
    <w:rsid w:val="007E05C9"/>
    <w:rsid w:val="007E3211"/>
    <w:rsid w:val="007E3B15"/>
    <w:rsid w:val="007E4761"/>
    <w:rsid w:val="007E5A04"/>
    <w:rsid w:val="007E69DC"/>
    <w:rsid w:val="007E6F9F"/>
    <w:rsid w:val="007E741B"/>
    <w:rsid w:val="007F0C56"/>
    <w:rsid w:val="007F2187"/>
    <w:rsid w:val="007F2579"/>
    <w:rsid w:val="007F2EAA"/>
    <w:rsid w:val="007F2F34"/>
    <w:rsid w:val="007F3ADE"/>
    <w:rsid w:val="007F53F9"/>
    <w:rsid w:val="007F54B3"/>
    <w:rsid w:val="007F5703"/>
    <w:rsid w:val="007F584F"/>
    <w:rsid w:val="008002F1"/>
    <w:rsid w:val="00800C2D"/>
    <w:rsid w:val="00801113"/>
    <w:rsid w:val="0080151C"/>
    <w:rsid w:val="008018EB"/>
    <w:rsid w:val="00801E22"/>
    <w:rsid w:val="00802488"/>
    <w:rsid w:val="0080344D"/>
    <w:rsid w:val="008036EC"/>
    <w:rsid w:val="0080372C"/>
    <w:rsid w:val="00805078"/>
    <w:rsid w:val="008058C4"/>
    <w:rsid w:val="00806062"/>
    <w:rsid w:val="00806F11"/>
    <w:rsid w:val="00810752"/>
    <w:rsid w:val="00810A9F"/>
    <w:rsid w:val="008123D2"/>
    <w:rsid w:val="008129C1"/>
    <w:rsid w:val="00812BAB"/>
    <w:rsid w:val="00812F3B"/>
    <w:rsid w:val="008132FA"/>
    <w:rsid w:val="0081398B"/>
    <w:rsid w:val="008162BF"/>
    <w:rsid w:val="008164DA"/>
    <w:rsid w:val="008202DE"/>
    <w:rsid w:val="00820933"/>
    <w:rsid w:val="00820C8A"/>
    <w:rsid w:val="00821BBA"/>
    <w:rsid w:val="00821C76"/>
    <w:rsid w:val="00821CB0"/>
    <w:rsid w:val="008224FB"/>
    <w:rsid w:val="00823613"/>
    <w:rsid w:val="008241A0"/>
    <w:rsid w:val="00825675"/>
    <w:rsid w:val="00825711"/>
    <w:rsid w:val="00825FB1"/>
    <w:rsid w:val="008261D6"/>
    <w:rsid w:val="00826D99"/>
    <w:rsid w:val="00826DB2"/>
    <w:rsid w:val="00826DE0"/>
    <w:rsid w:val="008272EC"/>
    <w:rsid w:val="00827FB1"/>
    <w:rsid w:val="0083070E"/>
    <w:rsid w:val="00830E7D"/>
    <w:rsid w:val="008317CD"/>
    <w:rsid w:val="00831CEB"/>
    <w:rsid w:val="00833038"/>
    <w:rsid w:val="0083468D"/>
    <w:rsid w:val="00834D49"/>
    <w:rsid w:val="00835477"/>
    <w:rsid w:val="00837D6D"/>
    <w:rsid w:val="0084092A"/>
    <w:rsid w:val="0084095B"/>
    <w:rsid w:val="00841311"/>
    <w:rsid w:val="0084140F"/>
    <w:rsid w:val="0084159F"/>
    <w:rsid w:val="0084264D"/>
    <w:rsid w:val="008426D4"/>
    <w:rsid w:val="008432D6"/>
    <w:rsid w:val="0084378E"/>
    <w:rsid w:val="00843CA9"/>
    <w:rsid w:val="00845F8C"/>
    <w:rsid w:val="00846E16"/>
    <w:rsid w:val="00847D2D"/>
    <w:rsid w:val="00847D47"/>
    <w:rsid w:val="00850034"/>
    <w:rsid w:val="00850A73"/>
    <w:rsid w:val="00850ED3"/>
    <w:rsid w:val="00851034"/>
    <w:rsid w:val="00851DBA"/>
    <w:rsid w:val="0085212A"/>
    <w:rsid w:val="00852872"/>
    <w:rsid w:val="008529F9"/>
    <w:rsid w:val="00852C34"/>
    <w:rsid w:val="00854D0C"/>
    <w:rsid w:val="00855552"/>
    <w:rsid w:val="00856689"/>
    <w:rsid w:val="00860CF9"/>
    <w:rsid w:val="00861007"/>
    <w:rsid w:val="00861C9C"/>
    <w:rsid w:val="00861CCD"/>
    <w:rsid w:val="00862314"/>
    <w:rsid w:val="00862462"/>
    <w:rsid w:val="00862A49"/>
    <w:rsid w:val="00862CC6"/>
    <w:rsid w:val="00862F56"/>
    <w:rsid w:val="00863F0C"/>
    <w:rsid w:val="0086428B"/>
    <w:rsid w:val="00864EA5"/>
    <w:rsid w:val="00864FE5"/>
    <w:rsid w:val="00865A3F"/>
    <w:rsid w:val="008664E1"/>
    <w:rsid w:val="00866BCA"/>
    <w:rsid w:val="00870172"/>
    <w:rsid w:val="00870476"/>
    <w:rsid w:val="00870E38"/>
    <w:rsid w:val="008727E8"/>
    <w:rsid w:val="00875314"/>
    <w:rsid w:val="00875AB0"/>
    <w:rsid w:val="00875E75"/>
    <w:rsid w:val="0087624D"/>
    <w:rsid w:val="00876E86"/>
    <w:rsid w:val="00877819"/>
    <w:rsid w:val="00877E18"/>
    <w:rsid w:val="0088020E"/>
    <w:rsid w:val="008802BE"/>
    <w:rsid w:val="008805DC"/>
    <w:rsid w:val="0088088B"/>
    <w:rsid w:val="00880A01"/>
    <w:rsid w:val="008818DA"/>
    <w:rsid w:val="00881DC9"/>
    <w:rsid w:val="00882304"/>
    <w:rsid w:val="00882583"/>
    <w:rsid w:val="00882735"/>
    <w:rsid w:val="008837C2"/>
    <w:rsid w:val="00883955"/>
    <w:rsid w:val="00883ED5"/>
    <w:rsid w:val="008846E0"/>
    <w:rsid w:val="00884EFC"/>
    <w:rsid w:val="00885150"/>
    <w:rsid w:val="00886DDE"/>
    <w:rsid w:val="00886EE8"/>
    <w:rsid w:val="00886F4A"/>
    <w:rsid w:val="00887BBF"/>
    <w:rsid w:val="00890A65"/>
    <w:rsid w:val="008913E7"/>
    <w:rsid w:val="00891FF1"/>
    <w:rsid w:val="0089313C"/>
    <w:rsid w:val="00893DB8"/>
    <w:rsid w:val="0089515B"/>
    <w:rsid w:val="0089540B"/>
    <w:rsid w:val="0089577E"/>
    <w:rsid w:val="00896B62"/>
    <w:rsid w:val="00896E31"/>
    <w:rsid w:val="008974EE"/>
    <w:rsid w:val="00897D77"/>
    <w:rsid w:val="008A076B"/>
    <w:rsid w:val="008A2A05"/>
    <w:rsid w:val="008A3B3C"/>
    <w:rsid w:val="008A436D"/>
    <w:rsid w:val="008A4EA6"/>
    <w:rsid w:val="008A5642"/>
    <w:rsid w:val="008A6403"/>
    <w:rsid w:val="008A64B5"/>
    <w:rsid w:val="008A6942"/>
    <w:rsid w:val="008A7352"/>
    <w:rsid w:val="008A755B"/>
    <w:rsid w:val="008A7BC7"/>
    <w:rsid w:val="008B2485"/>
    <w:rsid w:val="008B27C5"/>
    <w:rsid w:val="008B3597"/>
    <w:rsid w:val="008B36AF"/>
    <w:rsid w:val="008B4914"/>
    <w:rsid w:val="008B5CA3"/>
    <w:rsid w:val="008B5F5B"/>
    <w:rsid w:val="008B68E7"/>
    <w:rsid w:val="008C0108"/>
    <w:rsid w:val="008C263D"/>
    <w:rsid w:val="008C372D"/>
    <w:rsid w:val="008C44E9"/>
    <w:rsid w:val="008C5638"/>
    <w:rsid w:val="008C6F34"/>
    <w:rsid w:val="008C705B"/>
    <w:rsid w:val="008C78A2"/>
    <w:rsid w:val="008C7BE6"/>
    <w:rsid w:val="008C7D9E"/>
    <w:rsid w:val="008D167A"/>
    <w:rsid w:val="008D1847"/>
    <w:rsid w:val="008D2667"/>
    <w:rsid w:val="008D3A29"/>
    <w:rsid w:val="008D424A"/>
    <w:rsid w:val="008D4B07"/>
    <w:rsid w:val="008D5DBD"/>
    <w:rsid w:val="008D6A16"/>
    <w:rsid w:val="008D6E9A"/>
    <w:rsid w:val="008D7AC1"/>
    <w:rsid w:val="008E07D7"/>
    <w:rsid w:val="008E2EB4"/>
    <w:rsid w:val="008E3C41"/>
    <w:rsid w:val="008E3F3D"/>
    <w:rsid w:val="008E46B7"/>
    <w:rsid w:val="008E4ABD"/>
    <w:rsid w:val="008E4B24"/>
    <w:rsid w:val="008E4C2E"/>
    <w:rsid w:val="008E55B2"/>
    <w:rsid w:val="008E5CFE"/>
    <w:rsid w:val="008E62FD"/>
    <w:rsid w:val="008E65AA"/>
    <w:rsid w:val="008E6B26"/>
    <w:rsid w:val="008E7A95"/>
    <w:rsid w:val="008F0173"/>
    <w:rsid w:val="008F0AF2"/>
    <w:rsid w:val="008F0CC5"/>
    <w:rsid w:val="008F141D"/>
    <w:rsid w:val="008F188C"/>
    <w:rsid w:val="008F2DB0"/>
    <w:rsid w:val="008F5393"/>
    <w:rsid w:val="008F6255"/>
    <w:rsid w:val="008F708C"/>
    <w:rsid w:val="008F70D1"/>
    <w:rsid w:val="008F79C0"/>
    <w:rsid w:val="009002FD"/>
    <w:rsid w:val="00900649"/>
    <w:rsid w:val="00900911"/>
    <w:rsid w:val="0090232A"/>
    <w:rsid w:val="00902EB0"/>
    <w:rsid w:val="00903866"/>
    <w:rsid w:val="0090474A"/>
    <w:rsid w:val="00904779"/>
    <w:rsid w:val="00904B0F"/>
    <w:rsid w:val="00905AA4"/>
    <w:rsid w:val="00906626"/>
    <w:rsid w:val="00906F78"/>
    <w:rsid w:val="00907A94"/>
    <w:rsid w:val="00910002"/>
    <w:rsid w:val="00910867"/>
    <w:rsid w:val="00910BBC"/>
    <w:rsid w:val="00911980"/>
    <w:rsid w:val="00917C92"/>
    <w:rsid w:val="00920A18"/>
    <w:rsid w:val="009214AB"/>
    <w:rsid w:val="00921726"/>
    <w:rsid w:val="00922E65"/>
    <w:rsid w:val="009234C5"/>
    <w:rsid w:val="00924467"/>
    <w:rsid w:val="00924F16"/>
    <w:rsid w:val="0092545A"/>
    <w:rsid w:val="00925830"/>
    <w:rsid w:val="00925854"/>
    <w:rsid w:val="00925CDD"/>
    <w:rsid w:val="009269CB"/>
    <w:rsid w:val="00926D08"/>
    <w:rsid w:val="00926F1B"/>
    <w:rsid w:val="009304BC"/>
    <w:rsid w:val="00930CB8"/>
    <w:rsid w:val="009312CB"/>
    <w:rsid w:val="00932508"/>
    <w:rsid w:val="00932C66"/>
    <w:rsid w:val="009336EC"/>
    <w:rsid w:val="0093411A"/>
    <w:rsid w:val="009347B0"/>
    <w:rsid w:val="00934EA1"/>
    <w:rsid w:val="009350AC"/>
    <w:rsid w:val="00935844"/>
    <w:rsid w:val="00936A80"/>
    <w:rsid w:val="00940277"/>
    <w:rsid w:val="0094037F"/>
    <w:rsid w:val="00941537"/>
    <w:rsid w:val="00941E7E"/>
    <w:rsid w:val="00941F94"/>
    <w:rsid w:val="009423B8"/>
    <w:rsid w:val="00943110"/>
    <w:rsid w:val="0094336E"/>
    <w:rsid w:val="009437DC"/>
    <w:rsid w:val="00943A70"/>
    <w:rsid w:val="00943FA3"/>
    <w:rsid w:val="009441B7"/>
    <w:rsid w:val="00945D14"/>
    <w:rsid w:val="00946A1C"/>
    <w:rsid w:val="00947238"/>
    <w:rsid w:val="00947A53"/>
    <w:rsid w:val="009504DA"/>
    <w:rsid w:val="009505A6"/>
    <w:rsid w:val="00951394"/>
    <w:rsid w:val="009524AD"/>
    <w:rsid w:val="00952BBB"/>
    <w:rsid w:val="00953194"/>
    <w:rsid w:val="00953721"/>
    <w:rsid w:val="00953CBF"/>
    <w:rsid w:val="009543F0"/>
    <w:rsid w:val="009545DC"/>
    <w:rsid w:val="0095570A"/>
    <w:rsid w:val="00955724"/>
    <w:rsid w:val="00957E7D"/>
    <w:rsid w:val="00961DF8"/>
    <w:rsid w:val="00962E71"/>
    <w:rsid w:val="009636D3"/>
    <w:rsid w:val="009646D4"/>
    <w:rsid w:val="00967398"/>
    <w:rsid w:val="00967B15"/>
    <w:rsid w:val="0097093D"/>
    <w:rsid w:val="00971F01"/>
    <w:rsid w:val="009720C0"/>
    <w:rsid w:val="00972CC3"/>
    <w:rsid w:val="0097303B"/>
    <w:rsid w:val="0097497A"/>
    <w:rsid w:val="0097509B"/>
    <w:rsid w:val="009758A9"/>
    <w:rsid w:val="00976260"/>
    <w:rsid w:val="00977A02"/>
    <w:rsid w:val="00977EDE"/>
    <w:rsid w:val="00980873"/>
    <w:rsid w:val="009826D2"/>
    <w:rsid w:val="00982FE2"/>
    <w:rsid w:val="009832ED"/>
    <w:rsid w:val="00983C4E"/>
    <w:rsid w:val="00984DFB"/>
    <w:rsid w:val="00990477"/>
    <w:rsid w:val="009910DC"/>
    <w:rsid w:val="009915BF"/>
    <w:rsid w:val="00992373"/>
    <w:rsid w:val="00993E34"/>
    <w:rsid w:val="00994566"/>
    <w:rsid w:val="00995389"/>
    <w:rsid w:val="00995527"/>
    <w:rsid w:val="0099647F"/>
    <w:rsid w:val="00996986"/>
    <w:rsid w:val="00996ECB"/>
    <w:rsid w:val="00997053"/>
    <w:rsid w:val="009976DB"/>
    <w:rsid w:val="0099780C"/>
    <w:rsid w:val="00997DFC"/>
    <w:rsid w:val="00997F2C"/>
    <w:rsid w:val="009A00A1"/>
    <w:rsid w:val="009A0A40"/>
    <w:rsid w:val="009A11B2"/>
    <w:rsid w:val="009A2750"/>
    <w:rsid w:val="009A33BB"/>
    <w:rsid w:val="009A3A21"/>
    <w:rsid w:val="009A3C93"/>
    <w:rsid w:val="009A42AE"/>
    <w:rsid w:val="009A4EF3"/>
    <w:rsid w:val="009A55FD"/>
    <w:rsid w:val="009A5979"/>
    <w:rsid w:val="009A6471"/>
    <w:rsid w:val="009A7143"/>
    <w:rsid w:val="009B020A"/>
    <w:rsid w:val="009B1485"/>
    <w:rsid w:val="009B2107"/>
    <w:rsid w:val="009B3E69"/>
    <w:rsid w:val="009B44B7"/>
    <w:rsid w:val="009B4F13"/>
    <w:rsid w:val="009B57F8"/>
    <w:rsid w:val="009B686C"/>
    <w:rsid w:val="009B6ABD"/>
    <w:rsid w:val="009B6DB6"/>
    <w:rsid w:val="009B73EF"/>
    <w:rsid w:val="009B783F"/>
    <w:rsid w:val="009C0900"/>
    <w:rsid w:val="009C0937"/>
    <w:rsid w:val="009C1593"/>
    <w:rsid w:val="009C19C6"/>
    <w:rsid w:val="009C1ABC"/>
    <w:rsid w:val="009C1FC2"/>
    <w:rsid w:val="009C2FFD"/>
    <w:rsid w:val="009C5923"/>
    <w:rsid w:val="009C6626"/>
    <w:rsid w:val="009C6792"/>
    <w:rsid w:val="009C7462"/>
    <w:rsid w:val="009C752E"/>
    <w:rsid w:val="009C786D"/>
    <w:rsid w:val="009C7CAC"/>
    <w:rsid w:val="009D021E"/>
    <w:rsid w:val="009D255A"/>
    <w:rsid w:val="009D2FC5"/>
    <w:rsid w:val="009D3EDD"/>
    <w:rsid w:val="009D4985"/>
    <w:rsid w:val="009D4D10"/>
    <w:rsid w:val="009D647B"/>
    <w:rsid w:val="009D6643"/>
    <w:rsid w:val="009D6700"/>
    <w:rsid w:val="009D6EC1"/>
    <w:rsid w:val="009D758E"/>
    <w:rsid w:val="009D787D"/>
    <w:rsid w:val="009E0194"/>
    <w:rsid w:val="009E0FEE"/>
    <w:rsid w:val="009E169F"/>
    <w:rsid w:val="009E2A9C"/>
    <w:rsid w:val="009E2AB3"/>
    <w:rsid w:val="009E3590"/>
    <w:rsid w:val="009E3CE9"/>
    <w:rsid w:val="009F043E"/>
    <w:rsid w:val="009F0E12"/>
    <w:rsid w:val="009F1CE8"/>
    <w:rsid w:val="009F248D"/>
    <w:rsid w:val="009F348C"/>
    <w:rsid w:val="009F475B"/>
    <w:rsid w:val="009F59B2"/>
    <w:rsid w:val="009F5C8B"/>
    <w:rsid w:val="009F5C9F"/>
    <w:rsid w:val="009F677B"/>
    <w:rsid w:val="009F776C"/>
    <w:rsid w:val="009F7E31"/>
    <w:rsid w:val="00A00C72"/>
    <w:rsid w:val="00A011A0"/>
    <w:rsid w:val="00A01DA7"/>
    <w:rsid w:val="00A03EA3"/>
    <w:rsid w:val="00A0431F"/>
    <w:rsid w:val="00A0538B"/>
    <w:rsid w:val="00A05ABD"/>
    <w:rsid w:val="00A06289"/>
    <w:rsid w:val="00A06883"/>
    <w:rsid w:val="00A0739E"/>
    <w:rsid w:val="00A078B8"/>
    <w:rsid w:val="00A10FF6"/>
    <w:rsid w:val="00A11792"/>
    <w:rsid w:val="00A121AA"/>
    <w:rsid w:val="00A12F57"/>
    <w:rsid w:val="00A132B7"/>
    <w:rsid w:val="00A13E7C"/>
    <w:rsid w:val="00A147FB"/>
    <w:rsid w:val="00A14E8E"/>
    <w:rsid w:val="00A15B2F"/>
    <w:rsid w:val="00A16EF3"/>
    <w:rsid w:val="00A1738A"/>
    <w:rsid w:val="00A17770"/>
    <w:rsid w:val="00A20EBD"/>
    <w:rsid w:val="00A21798"/>
    <w:rsid w:val="00A21F1B"/>
    <w:rsid w:val="00A22273"/>
    <w:rsid w:val="00A223CA"/>
    <w:rsid w:val="00A22D17"/>
    <w:rsid w:val="00A22D50"/>
    <w:rsid w:val="00A23031"/>
    <w:rsid w:val="00A23282"/>
    <w:rsid w:val="00A23482"/>
    <w:rsid w:val="00A23D51"/>
    <w:rsid w:val="00A2405C"/>
    <w:rsid w:val="00A24925"/>
    <w:rsid w:val="00A24DC0"/>
    <w:rsid w:val="00A25532"/>
    <w:rsid w:val="00A2563A"/>
    <w:rsid w:val="00A259DE"/>
    <w:rsid w:val="00A2601E"/>
    <w:rsid w:val="00A262A7"/>
    <w:rsid w:val="00A26818"/>
    <w:rsid w:val="00A26A45"/>
    <w:rsid w:val="00A304FE"/>
    <w:rsid w:val="00A30FAC"/>
    <w:rsid w:val="00A321D6"/>
    <w:rsid w:val="00A32C65"/>
    <w:rsid w:val="00A33496"/>
    <w:rsid w:val="00A33A14"/>
    <w:rsid w:val="00A33C27"/>
    <w:rsid w:val="00A340E7"/>
    <w:rsid w:val="00A34481"/>
    <w:rsid w:val="00A3470B"/>
    <w:rsid w:val="00A35D26"/>
    <w:rsid w:val="00A373D5"/>
    <w:rsid w:val="00A379CA"/>
    <w:rsid w:val="00A37B15"/>
    <w:rsid w:val="00A404C9"/>
    <w:rsid w:val="00A4138F"/>
    <w:rsid w:val="00A43C07"/>
    <w:rsid w:val="00A4425C"/>
    <w:rsid w:val="00A464E1"/>
    <w:rsid w:val="00A46F7F"/>
    <w:rsid w:val="00A47990"/>
    <w:rsid w:val="00A47AD7"/>
    <w:rsid w:val="00A47D0B"/>
    <w:rsid w:val="00A47E52"/>
    <w:rsid w:val="00A5018B"/>
    <w:rsid w:val="00A505F9"/>
    <w:rsid w:val="00A50D4C"/>
    <w:rsid w:val="00A51191"/>
    <w:rsid w:val="00A51829"/>
    <w:rsid w:val="00A526D5"/>
    <w:rsid w:val="00A529D0"/>
    <w:rsid w:val="00A53B98"/>
    <w:rsid w:val="00A53F3B"/>
    <w:rsid w:val="00A5415B"/>
    <w:rsid w:val="00A542CE"/>
    <w:rsid w:val="00A54373"/>
    <w:rsid w:val="00A5500D"/>
    <w:rsid w:val="00A560DF"/>
    <w:rsid w:val="00A5630E"/>
    <w:rsid w:val="00A604BA"/>
    <w:rsid w:val="00A61FB5"/>
    <w:rsid w:val="00A623AE"/>
    <w:rsid w:val="00A63025"/>
    <w:rsid w:val="00A6425D"/>
    <w:rsid w:val="00A64E88"/>
    <w:rsid w:val="00A64EC0"/>
    <w:rsid w:val="00A65118"/>
    <w:rsid w:val="00A653D4"/>
    <w:rsid w:val="00A67DB0"/>
    <w:rsid w:val="00A70C21"/>
    <w:rsid w:val="00A70F34"/>
    <w:rsid w:val="00A71174"/>
    <w:rsid w:val="00A72947"/>
    <w:rsid w:val="00A73363"/>
    <w:rsid w:val="00A73562"/>
    <w:rsid w:val="00A743F5"/>
    <w:rsid w:val="00A76589"/>
    <w:rsid w:val="00A7736D"/>
    <w:rsid w:val="00A8152C"/>
    <w:rsid w:val="00A819C3"/>
    <w:rsid w:val="00A81AA1"/>
    <w:rsid w:val="00A8271A"/>
    <w:rsid w:val="00A82A35"/>
    <w:rsid w:val="00A8383C"/>
    <w:rsid w:val="00A84039"/>
    <w:rsid w:val="00A84793"/>
    <w:rsid w:val="00A85395"/>
    <w:rsid w:val="00A85415"/>
    <w:rsid w:val="00A86627"/>
    <w:rsid w:val="00A8684C"/>
    <w:rsid w:val="00A87320"/>
    <w:rsid w:val="00A87573"/>
    <w:rsid w:val="00A8776F"/>
    <w:rsid w:val="00A90870"/>
    <w:rsid w:val="00A90FCD"/>
    <w:rsid w:val="00A9181A"/>
    <w:rsid w:val="00A92B7D"/>
    <w:rsid w:val="00A95773"/>
    <w:rsid w:val="00A96222"/>
    <w:rsid w:val="00A966EF"/>
    <w:rsid w:val="00A9703C"/>
    <w:rsid w:val="00A97351"/>
    <w:rsid w:val="00AA0C07"/>
    <w:rsid w:val="00AA13C9"/>
    <w:rsid w:val="00AA18CF"/>
    <w:rsid w:val="00AA2A81"/>
    <w:rsid w:val="00AA308D"/>
    <w:rsid w:val="00AA3514"/>
    <w:rsid w:val="00AA3CE7"/>
    <w:rsid w:val="00AA4819"/>
    <w:rsid w:val="00AA4C7A"/>
    <w:rsid w:val="00AA6206"/>
    <w:rsid w:val="00AA64CF"/>
    <w:rsid w:val="00AA667A"/>
    <w:rsid w:val="00AA6CBF"/>
    <w:rsid w:val="00AA7ECE"/>
    <w:rsid w:val="00AB0F5A"/>
    <w:rsid w:val="00AB1FCD"/>
    <w:rsid w:val="00AB2481"/>
    <w:rsid w:val="00AB3049"/>
    <w:rsid w:val="00AB37BD"/>
    <w:rsid w:val="00AB3ED1"/>
    <w:rsid w:val="00AB4F68"/>
    <w:rsid w:val="00AB67B0"/>
    <w:rsid w:val="00AB7887"/>
    <w:rsid w:val="00AB7E25"/>
    <w:rsid w:val="00AC1BFD"/>
    <w:rsid w:val="00AC1D49"/>
    <w:rsid w:val="00AC2527"/>
    <w:rsid w:val="00AC36E6"/>
    <w:rsid w:val="00AC52BC"/>
    <w:rsid w:val="00AC617E"/>
    <w:rsid w:val="00AC640F"/>
    <w:rsid w:val="00AC643F"/>
    <w:rsid w:val="00AC6950"/>
    <w:rsid w:val="00AC6C5E"/>
    <w:rsid w:val="00AC7064"/>
    <w:rsid w:val="00AC7366"/>
    <w:rsid w:val="00AC7F7B"/>
    <w:rsid w:val="00AD05B4"/>
    <w:rsid w:val="00AD0C42"/>
    <w:rsid w:val="00AD1CA8"/>
    <w:rsid w:val="00AD2A5C"/>
    <w:rsid w:val="00AD2B13"/>
    <w:rsid w:val="00AD3495"/>
    <w:rsid w:val="00AD522B"/>
    <w:rsid w:val="00AD547E"/>
    <w:rsid w:val="00AD60E0"/>
    <w:rsid w:val="00AD7368"/>
    <w:rsid w:val="00AD7624"/>
    <w:rsid w:val="00AD7839"/>
    <w:rsid w:val="00AD7E70"/>
    <w:rsid w:val="00AE0256"/>
    <w:rsid w:val="00AE057E"/>
    <w:rsid w:val="00AE1116"/>
    <w:rsid w:val="00AE15F4"/>
    <w:rsid w:val="00AE32D0"/>
    <w:rsid w:val="00AE32DC"/>
    <w:rsid w:val="00AE47E4"/>
    <w:rsid w:val="00AE5196"/>
    <w:rsid w:val="00AE5361"/>
    <w:rsid w:val="00AE59F4"/>
    <w:rsid w:val="00AE6D4B"/>
    <w:rsid w:val="00AE6E00"/>
    <w:rsid w:val="00AF044E"/>
    <w:rsid w:val="00AF2123"/>
    <w:rsid w:val="00AF2B55"/>
    <w:rsid w:val="00AF2FE2"/>
    <w:rsid w:val="00AF38A9"/>
    <w:rsid w:val="00AF3B4C"/>
    <w:rsid w:val="00AF41D4"/>
    <w:rsid w:val="00AF473E"/>
    <w:rsid w:val="00AF6A69"/>
    <w:rsid w:val="00AF6DCD"/>
    <w:rsid w:val="00AF6F43"/>
    <w:rsid w:val="00AF707B"/>
    <w:rsid w:val="00AF799C"/>
    <w:rsid w:val="00AF7B6B"/>
    <w:rsid w:val="00B0027E"/>
    <w:rsid w:val="00B0053C"/>
    <w:rsid w:val="00B00C13"/>
    <w:rsid w:val="00B01815"/>
    <w:rsid w:val="00B01F5F"/>
    <w:rsid w:val="00B021FC"/>
    <w:rsid w:val="00B02A74"/>
    <w:rsid w:val="00B02AD0"/>
    <w:rsid w:val="00B035F3"/>
    <w:rsid w:val="00B03639"/>
    <w:rsid w:val="00B03835"/>
    <w:rsid w:val="00B0397F"/>
    <w:rsid w:val="00B039F2"/>
    <w:rsid w:val="00B043CE"/>
    <w:rsid w:val="00B04517"/>
    <w:rsid w:val="00B04E92"/>
    <w:rsid w:val="00B04F6F"/>
    <w:rsid w:val="00B05ACD"/>
    <w:rsid w:val="00B061F9"/>
    <w:rsid w:val="00B06239"/>
    <w:rsid w:val="00B0624C"/>
    <w:rsid w:val="00B06489"/>
    <w:rsid w:val="00B06834"/>
    <w:rsid w:val="00B10683"/>
    <w:rsid w:val="00B10CDC"/>
    <w:rsid w:val="00B10FE3"/>
    <w:rsid w:val="00B12795"/>
    <w:rsid w:val="00B1363A"/>
    <w:rsid w:val="00B13C25"/>
    <w:rsid w:val="00B13D5C"/>
    <w:rsid w:val="00B14537"/>
    <w:rsid w:val="00B14ABD"/>
    <w:rsid w:val="00B14ACD"/>
    <w:rsid w:val="00B15655"/>
    <w:rsid w:val="00B15F87"/>
    <w:rsid w:val="00B16042"/>
    <w:rsid w:val="00B16322"/>
    <w:rsid w:val="00B2027B"/>
    <w:rsid w:val="00B2199A"/>
    <w:rsid w:val="00B21C37"/>
    <w:rsid w:val="00B21D09"/>
    <w:rsid w:val="00B21F7B"/>
    <w:rsid w:val="00B22508"/>
    <w:rsid w:val="00B2464D"/>
    <w:rsid w:val="00B24F59"/>
    <w:rsid w:val="00B250BF"/>
    <w:rsid w:val="00B251E8"/>
    <w:rsid w:val="00B253E5"/>
    <w:rsid w:val="00B256A0"/>
    <w:rsid w:val="00B25A45"/>
    <w:rsid w:val="00B2663B"/>
    <w:rsid w:val="00B266EF"/>
    <w:rsid w:val="00B26DFA"/>
    <w:rsid w:val="00B302E4"/>
    <w:rsid w:val="00B307BF"/>
    <w:rsid w:val="00B30C01"/>
    <w:rsid w:val="00B30F32"/>
    <w:rsid w:val="00B318D3"/>
    <w:rsid w:val="00B31D09"/>
    <w:rsid w:val="00B3219D"/>
    <w:rsid w:val="00B32236"/>
    <w:rsid w:val="00B3260A"/>
    <w:rsid w:val="00B338AA"/>
    <w:rsid w:val="00B3564C"/>
    <w:rsid w:val="00B35A89"/>
    <w:rsid w:val="00B36DB5"/>
    <w:rsid w:val="00B36F46"/>
    <w:rsid w:val="00B37745"/>
    <w:rsid w:val="00B40B51"/>
    <w:rsid w:val="00B410BB"/>
    <w:rsid w:val="00B42178"/>
    <w:rsid w:val="00B421DD"/>
    <w:rsid w:val="00B431B9"/>
    <w:rsid w:val="00B44016"/>
    <w:rsid w:val="00B45EE7"/>
    <w:rsid w:val="00B45FBA"/>
    <w:rsid w:val="00B46125"/>
    <w:rsid w:val="00B46196"/>
    <w:rsid w:val="00B4794C"/>
    <w:rsid w:val="00B50382"/>
    <w:rsid w:val="00B5048B"/>
    <w:rsid w:val="00B5106F"/>
    <w:rsid w:val="00B5116D"/>
    <w:rsid w:val="00B513F9"/>
    <w:rsid w:val="00B515DF"/>
    <w:rsid w:val="00B51B20"/>
    <w:rsid w:val="00B5277D"/>
    <w:rsid w:val="00B528A5"/>
    <w:rsid w:val="00B5304F"/>
    <w:rsid w:val="00B53B47"/>
    <w:rsid w:val="00B54578"/>
    <w:rsid w:val="00B54DCB"/>
    <w:rsid w:val="00B60454"/>
    <w:rsid w:val="00B6058B"/>
    <w:rsid w:val="00B60B9C"/>
    <w:rsid w:val="00B615A0"/>
    <w:rsid w:val="00B62289"/>
    <w:rsid w:val="00B62A73"/>
    <w:rsid w:val="00B63270"/>
    <w:rsid w:val="00B64ACB"/>
    <w:rsid w:val="00B65670"/>
    <w:rsid w:val="00B65922"/>
    <w:rsid w:val="00B674D7"/>
    <w:rsid w:val="00B67EEA"/>
    <w:rsid w:val="00B700CA"/>
    <w:rsid w:val="00B71673"/>
    <w:rsid w:val="00B716DE"/>
    <w:rsid w:val="00B717E1"/>
    <w:rsid w:val="00B72140"/>
    <w:rsid w:val="00B73221"/>
    <w:rsid w:val="00B73388"/>
    <w:rsid w:val="00B74A0A"/>
    <w:rsid w:val="00B74AC9"/>
    <w:rsid w:val="00B74E57"/>
    <w:rsid w:val="00B74F4A"/>
    <w:rsid w:val="00B7527A"/>
    <w:rsid w:val="00B75B1A"/>
    <w:rsid w:val="00B75CE1"/>
    <w:rsid w:val="00B769F7"/>
    <w:rsid w:val="00B76CF5"/>
    <w:rsid w:val="00B76EEC"/>
    <w:rsid w:val="00B77C36"/>
    <w:rsid w:val="00B80272"/>
    <w:rsid w:val="00B804FC"/>
    <w:rsid w:val="00B82229"/>
    <w:rsid w:val="00B8238D"/>
    <w:rsid w:val="00B845EF"/>
    <w:rsid w:val="00B84B5E"/>
    <w:rsid w:val="00B84E91"/>
    <w:rsid w:val="00B8523D"/>
    <w:rsid w:val="00B86618"/>
    <w:rsid w:val="00B86B6C"/>
    <w:rsid w:val="00B86B7F"/>
    <w:rsid w:val="00B90610"/>
    <w:rsid w:val="00B912CD"/>
    <w:rsid w:val="00B914C6"/>
    <w:rsid w:val="00B926CA"/>
    <w:rsid w:val="00B92A1E"/>
    <w:rsid w:val="00B93ADB"/>
    <w:rsid w:val="00B959EC"/>
    <w:rsid w:val="00B95B65"/>
    <w:rsid w:val="00B95E9E"/>
    <w:rsid w:val="00BA07CE"/>
    <w:rsid w:val="00BA17CD"/>
    <w:rsid w:val="00BA1C2E"/>
    <w:rsid w:val="00BA1F6F"/>
    <w:rsid w:val="00BA257D"/>
    <w:rsid w:val="00BA5F5E"/>
    <w:rsid w:val="00BA7BD5"/>
    <w:rsid w:val="00BB0F62"/>
    <w:rsid w:val="00BB119E"/>
    <w:rsid w:val="00BB1530"/>
    <w:rsid w:val="00BB20FE"/>
    <w:rsid w:val="00BB22DC"/>
    <w:rsid w:val="00BB26E9"/>
    <w:rsid w:val="00BB285A"/>
    <w:rsid w:val="00BB2A75"/>
    <w:rsid w:val="00BB3F55"/>
    <w:rsid w:val="00BB4147"/>
    <w:rsid w:val="00BB4284"/>
    <w:rsid w:val="00BB580D"/>
    <w:rsid w:val="00BB5F0D"/>
    <w:rsid w:val="00BB7D95"/>
    <w:rsid w:val="00BC078E"/>
    <w:rsid w:val="00BC1654"/>
    <w:rsid w:val="00BC32A1"/>
    <w:rsid w:val="00BC34ED"/>
    <w:rsid w:val="00BC426D"/>
    <w:rsid w:val="00BC48BE"/>
    <w:rsid w:val="00BC4FA0"/>
    <w:rsid w:val="00BC5280"/>
    <w:rsid w:val="00BC5ED4"/>
    <w:rsid w:val="00BC6CC2"/>
    <w:rsid w:val="00BC7297"/>
    <w:rsid w:val="00BD0338"/>
    <w:rsid w:val="00BD072B"/>
    <w:rsid w:val="00BD1204"/>
    <w:rsid w:val="00BD144E"/>
    <w:rsid w:val="00BD1841"/>
    <w:rsid w:val="00BD34C4"/>
    <w:rsid w:val="00BD3EA4"/>
    <w:rsid w:val="00BD4139"/>
    <w:rsid w:val="00BD4212"/>
    <w:rsid w:val="00BD5A56"/>
    <w:rsid w:val="00BD6D3B"/>
    <w:rsid w:val="00BD718D"/>
    <w:rsid w:val="00BD743C"/>
    <w:rsid w:val="00BD7879"/>
    <w:rsid w:val="00BD7A68"/>
    <w:rsid w:val="00BD7E91"/>
    <w:rsid w:val="00BD7FAA"/>
    <w:rsid w:val="00BE01B4"/>
    <w:rsid w:val="00BE02CA"/>
    <w:rsid w:val="00BE0F02"/>
    <w:rsid w:val="00BE1EB8"/>
    <w:rsid w:val="00BE22E0"/>
    <w:rsid w:val="00BE2418"/>
    <w:rsid w:val="00BE2A81"/>
    <w:rsid w:val="00BE4448"/>
    <w:rsid w:val="00BE462D"/>
    <w:rsid w:val="00BE4EF1"/>
    <w:rsid w:val="00BE4F06"/>
    <w:rsid w:val="00BE503A"/>
    <w:rsid w:val="00BE5401"/>
    <w:rsid w:val="00BE54EF"/>
    <w:rsid w:val="00BE5AF3"/>
    <w:rsid w:val="00BE5F44"/>
    <w:rsid w:val="00BE68BC"/>
    <w:rsid w:val="00BE6999"/>
    <w:rsid w:val="00BE799B"/>
    <w:rsid w:val="00BE7C70"/>
    <w:rsid w:val="00BE7E9E"/>
    <w:rsid w:val="00BE7F4B"/>
    <w:rsid w:val="00BF0529"/>
    <w:rsid w:val="00BF0E61"/>
    <w:rsid w:val="00BF1929"/>
    <w:rsid w:val="00BF1D05"/>
    <w:rsid w:val="00BF290B"/>
    <w:rsid w:val="00BF2AE6"/>
    <w:rsid w:val="00BF3016"/>
    <w:rsid w:val="00BF5C6D"/>
    <w:rsid w:val="00BF5DE9"/>
    <w:rsid w:val="00BF6D8A"/>
    <w:rsid w:val="00BF6EC0"/>
    <w:rsid w:val="00BF76F2"/>
    <w:rsid w:val="00C00BB6"/>
    <w:rsid w:val="00C012B6"/>
    <w:rsid w:val="00C0208D"/>
    <w:rsid w:val="00C02672"/>
    <w:rsid w:val="00C02C26"/>
    <w:rsid w:val="00C03250"/>
    <w:rsid w:val="00C034A8"/>
    <w:rsid w:val="00C03E86"/>
    <w:rsid w:val="00C04490"/>
    <w:rsid w:val="00C049C0"/>
    <w:rsid w:val="00C054AA"/>
    <w:rsid w:val="00C056E1"/>
    <w:rsid w:val="00C06D3C"/>
    <w:rsid w:val="00C07505"/>
    <w:rsid w:val="00C1063E"/>
    <w:rsid w:val="00C10D67"/>
    <w:rsid w:val="00C12802"/>
    <w:rsid w:val="00C143D6"/>
    <w:rsid w:val="00C15D6F"/>
    <w:rsid w:val="00C168A5"/>
    <w:rsid w:val="00C16CB7"/>
    <w:rsid w:val="00C17A62"/>
    <w:rsid w:val="00C17F71"/>
    <w:rsid w:val="00C20ECE"/>
    <w:rsid w:val="00C23237"/>
    <w:rsid w:val="00C24740"/>
    <w:rsid w:val="00C253EA"/>
    <w:rsid w:val="00C26098"/>
    <w:rsid w:val="00C261DA"/>
    <w:rsid w:val="00C26CDF"/>
    <w:rsid w:val="00C32548"/>
    <w:rsid w:val="00C32B01"/>
    <w:rsid w:val="00C339E5"/>
    <w:rsid w:val="00C33DDD"/>
    <w:rsid w:val="00C34152"/>
    <w:rsid w:val="00C347E6"/>
    <w:rsid w:val="00C34D49"/>
    <w:rsid w:val="00C34FEE"/>
    <w:rsid w:val="00C35EB2"/>
    <w:rsid w:val="00C35EFF"/>
    <w:rsid w:val="00C3612E"/>
    <w:rsid w:val="00C36522"/>
    <w:rsid w:val="00C371F6"/>
    <w:rsid w:val="00C37457"/>
    <w:rsid w:val="00C3780F"/>
    <w:rsid w:val="00C379D6"/>
    <w:rsid w:val="00C425F1"/>
    <w:rsid w:val="00C4370F"/>
    <w:rsid w:val="00C4443B"/>
    <w:rsid w:val="00C4499A"/>
    <w:rsid w:val="00C454AB"/>
    <w:rsid w:val="00C458FA"/>
    <w:rsid w:val="00C4667E"/>
    <w:rsid w:val="00C4699A"/>
    <w:rsid w:val="00C47B8D"/>
    <w:rsid w:val="00C47BA8"/>
    <w:rsid w:val="00C50BE5"/>
    <w:rsid w:val="00C5142C"/>
    <w:rsid w:val="00C531D8"/>
    <w:rsid w:val="00C53B72"/>
    <w:rsid w:val="00C53D36"/>
    <w:rsid w:val="00C540B5"/>
    <w:rsid w:val="00C546A0"/>
    <w:rsid w:val="00C546B5"/>
    <w:rsid w:val="00C55399"/>
    <w:rsid w:val="00C55F88"/>
    <w:rsid w:val="00C56902"/>
    <w:rsid w:val="00C56CCD"/>
    <w:rsid w:val="00C57A02"/>
    <w:rsid w:val="00C57F07"/>
    <w:rsid w:val="00C60870"/>
    <w:rsid w:val="00C60E75"/>
    <w:rsid w:val="00C61580"/>
    <w:rsid w:val="00C61839"/>
    <w:rsid w:val="00C61DD4"/>
    <w:rsid w:val="00C62322"/>
    <w:rsid w:val="00C6263F"/>
    <w:rsid w:val="00C6396A"/>
    <w:rsid w:val="00C64505"/>
    <w:rsid w:val="00C64911"/>
    <w:rsid w:val="00C66E6B"/>
    <w:rsid w:val="00C67335"/>
    <w:rsid w:val="00C70726"/>
    <w:rsid w:val="00C710F9"/>
    <w:rsid w:val="00C71220"/>
    <w:rsid w:val="00C717FC"/>
    <w:rsid w:val="00C71B2C"/>
    <w:rsid w:val="00C726A0"/>
    <w:rsid w:val="00C7345B"/>
    <w:rsid w:val="00C7398C"/>
    <w:rsid w:val="00C73AE4"/>
    <w:rsid w:val="00C74613"/>
    <w:rsid w:val="00C74A82"/>
    <w:rsid w:val="00C74E48"/>
    <w:rsid w:val="00C75A78"/>
    <w:rsid w:val="00C8034C"/>
    <w:rsid w:val="00C80797"/>
    <w:rsid w:val="00C80DB8"/>
    <w:rsid w:val="00C814F8"/>
    <w:rsid w:val="00C83CDE"/>
    <w:rsid w:val="00C84236"/>
    <w:rsid w:val="00C8493E"/>
    <w:rsid w:val="00C850E9"/>
    <w:rsid w:val="00C8593D"/>
    <w:rsid w:val="00C85F4E"/>
    <w:rsid w:val="00C86131"/>
    <w:rsid w:val="00C86365"/>
    <w:rsid w:val="00C86BE2"/>
    <w:rsid w:val="00C9016B"/>
    <w:rsid w:val="00C90426"/>
    <w:rsid w:val="00C92030"/>
    <w:rsid w:val="00C93BBA"/>
    <w:rsid w:val="00C94583"/>
    <w:rsid w:val="00C95110"/>
    <w:rsid w:val="00C954AB"/>
    <w:rsid w:val="00C95EFB"/>
    <w:rsid w:val="00C96798"/>
    <w:rsid w:val="00C97545"/>
    <w:rsid w:val="00C97E03"/>
    <w:rsid w:val="00C97F8A"/>
    <w:rsid w:val="00CA010A"/>
    <w:rsid w:val="00CA130E"/>
    <w:rsid w:val="00CA1623"/>
    <w:rsid w:val="00CA2325"/>
    <w:rsid w:val="00CA41F4"/>
    <w:rsid w:val="00CA5401"/>
    <w:rsid w:val="00CA771E"/>
    <w:rsid w:val="00CB0AEF"/>
    <w:rsid w:val="00CB0CC7"/>
    <w:rsid w:val="00CB10F2"/>
    <w:rsid w:val="00CB38C6"/>
    <w:rsid w:val="00CB50E0"/>
    <w:rsid w:val="00CB647A"/>
    <w:rsid w:val="00CB70EC"/>
    <w:rsid w:val="00CB77AA"/>
    <w:rsid w:val="00CC0B8C"/>
    <w:rsid w:val="00CC2177"/>
    <w:rsid w:val="00CC318D"/>
    <w:rsid w:val="00CC4C47"/>
    <w:rsid w:val="00CC639F"/>
    <w:rsid w:val="00CC6D80"/>
    <w:rsid w:val="00CC6E1B"/>
    <w:rsid w:val="00CD00CD"/>
    <w:rsid w:val="00CD29A9"/>
    <w:rsid w:val="00CD3930"/>
    <w:rsid w:val="00CD3D86"/>
    <w:rsid w:val="00CD44A4"/>
    <w:rsid w:val="00CD53A5"/>
    <w:rsid w:val="00CD55F8"/>
    <w:rsid w:val="00CD5EFE"/>
    <w:rsid w:val="00CD6600"/>
    <w:rsid w:val="00CD7A65"/>
    <w:rsid w:val="00CD7DA9"/>
    <w:rsid w:val="00CD7F8C"/>
    <w:rsid w:val="00CD7F9A"/>
    <w:rsid w:val="00CE08B7"/>
    <w:rsid w:val="00CE0A69"/>
    <w:rsid w:val="00CE0BAB"/>
    <w:rsid w:val="00CE3943"/>
    <w:rsid w:val="00CE45A2"/>
    <w:rsid w:val="00CE482A"/>
    <w:rsid w:val="00CE5B06"/>
    <w:rsid w:val="00CE6625"/>
    <w:rsid w:val="00CE703E"/>
    <w:rsid w:val="00CE712C"/>
    <w:rsid w:val="00CF0399"/>
    <w:rsid w:val="00CF113A"/>
    <w:rsid w:val="00CF1C5A"/>
    <w:rsid w:val="00CF37DE"/>
    <w:rsid w:val="00CF3986"/>
    <w:rsid w:val="00CF3D50"/>
    <w:rsid w:val="00CF3D59"/>
    <w:rsid w:val="00CF3E25"/>
    <w:rsid w:val="00CF4562"/>
    <w:rsid w:val="00CF5DFB"/>
    <w:rsid w:val="00CF5EDE"/>
    <w:rsid w:val="00CF60A9"/>
    <w:rsid w:val="00CF65DB"/>
    <w:rsid w:val="00CF6605"/>
    <w:rsid w:val="00CF69F5"/>
    <w:rsid w:val="00CF733C"/>
    <w:rsid w:val="00CF7544"/>
    <w:rsid w:val="00CF7FA8"/>
    <w:rsid w:val="00D01172"/>
    <w:rsid w:val="00D0173B"/>
    <w:rsid w:val="00D01946"/>
    <w:rsid w:val="00D01A6F"/>
    <w:rsid w:val="00D022E2"/>
    <w:rsid w:val="00D03A44"/>
    <w:rsid w:val="00D04E5D"/>
    <w:rsid w:val="00D079EE"/>
    <w:rsid w:val="00D1012A"/>
    <w:rsid w:val="00D1023F"/>
    <w:rsid w:val="00D11393"/>
    <w:rsid w:val="00D11511"/>
    <w:rsid w:val="00D11D6F"/>
    <w:rsid w:val="00D12F45"/>
    <w:rsid w:val="00D131BA"/>
    <w:rsid w:val="00D139DC"/>
    <w:rsid w:val="00D13C6A"/>
    <w:rsid w:val="00D13FC1"/>
    <w:rsid w:val="00D1463D"/>
    <w:rsid w:val="00D15A56"/>
    <w:rsid w:val="00D16F7E"/>
    <w:rsid w:val="00D172CF"/>
    <w:rsid w:val="00D17D3A"/>
    <w:rsid w:val="00D2121E"/>
    <w:rsid w:val="00D222BF"/>
    <w:rsid w:val="00D2231E"/>
    <w:rsid w:val="00D23915"/>
    <w:rsid w:val="00D23A22"/>
    <w:rsid w:val="00D23B3F"/>
    <w:rsid w:val="00D23D6E"/>
    <w:rsid w:val="00D245E9"/>
    <w:rsid w:val="00D24B3F"/>
    <w:rsid w:val="00D24EF7"/>
    <w:rsid w:val="00D25461"/>
    <w:rsid w:val="00D27891"/>
    <w:rsid w:val="00D27AFE"/>
    <w:rsid w:val="00D27FCF"/>
    <w:rsid w:val="00D30441"/>
    <w:rsid w:val="00D308FA"/>
    <w:rsid w:val="00D322FD"/>
    <w:rsid w:val="00D33FD1"/>
    <w:rsid w:val="00D3425B"/>
    <w:rsid w:val="00D34444"/>
    <w:rsid w:val="00D35128"/>
    <w:rsid w:val="00D3519D"/>
    <w:rsid w:val="00D36C76"/>
    <w:rsid w:val="00D37544"/>
    <w:rsid w:val="00D40AC8"/>
    <w:rsid w:val="00D41171"/>
    <w:rsid w:val="00D41528"/>
    <w:rsid w:val="00D4158B"/>
    <w:rsid w:val="00D41F1C"/>
    <w:rsid w:val="00D429A6"/>
    <w:rsid w:val="00D438E2"/>
    <w:rsid w:val="00D44ED1"/>
    <w:rsid w:val="00D454FD"/>
    <w:rsid w:val="00D455C8"/>
    <w:rsid w:val="00D45E83"/>
    <w:rsid w:val="00D463AC"/>
    <w:rsid w:val="00D47F4F"/>
    <w:rsid w:val="00D50B58"/>
    <w:rsid w:val="00D51750"/>
    <w:rsid w:val="00D5227F"/>
    <w:rsid w:val="00D52F4C"/>
    <w:rsid w:val="00D53333"/>
    <w:rsid w:val="00D5430A"/>
    <w:rsid w:val="00D5473D"/>
    <w:rsid w:val="00D55591"/>
    <w:rsid w:val="00D56ACE"/>
    <w:rsid w:val="00D57940"/>
    <w:rsid w:val="00D57DE3"/>
    <w:rsid w:val="00D57DF9"/>
    <w:rsid w:val="00D600C4"/>
    <w:rsid w:val="00D601BD"/>
    <w:rsid w:val="00D6205F"/>
    <w:rsid w:val="00D630D2"/>
    <w:rsid w:val="00D638F9"/>
    <w:rsid w:val="00D641A9"/>
    <w:rsid w:val="00D6602A"/>
    <w:rsid w:val="00D663F5"/>
    <w:rsid w:val="00D6747D"/>
    <w:rsid w:val="00D6794C"/>
    <w:rsid w:val="00D70C62"/>
    <w:rsid w:val="00D71301"/>
    <w:rsid w:val="00D714B9"/>
    <w:rsid w:val="00D71FAC"/>
    <w:rsid w:val="00D7313D"/>
    <w:rsid w:val="00D736F4"/>
    <w:rsid w:val="00D73E08"/>
    <w:rsid w:val="00D74854"/>
    <w:rsid w:val="00D74C55"/>
    <w:rsid w:val="00D756EB"/>
    <w:rsid w:val="00D76F90"/>
    <w:rsid w:val="00D810E6"/>
    <w:rsid w:val="00D82139"/>
    <w:rsid w:val="00D82BE0"/>
    <w:rsid w:val="00D83E68"/>
    <w:rsid w:val="00D842A9"/>
    <w:rsid w:val="00D8441F"/>
    <w:rsid w:val="00D850FB"/>
    <w:rsid w:val="00D85308"/>
    <w:rsid w:val="00D856EC"/>
    <w:rsid w:val="00D8696C"/>
    <w:rsid w:val="00D879A4"/>
    <w:rsid w:val="00D907E9"/>
    <w:rsid w:val="00D92647"/>
    <w:rsid w:val="00D929DF"/>
    <w:rsid w:val="00D92FA3"/>
    <w:rsid w:val="00D9312E"/>
    <w:rsid w:val="00D93A35"/>
    <w:rsid w:val="00D93C2A"/>
    <w:rsid w:val="00D94A7D"/>
    <w:rsid w:val="00D9582C"/>
    <w:rsid w:val="00D962E7"/>
    <w:rsid w:val="00D9661F"/>
    <w:rsid w:val="00D972F9"/>
    <w:rsid w:val="00D974E1"/>
    <w:rsid w:val="00D97773"/>
    <w:rsid w:val="00D97897"/>
    <w:rsid w:val="00DA072B"/>
    <w:rsid w:val="00DA0C8C"/>
    <w:rsid w:val="00DA1E71"/>
    <w:rsid w:val="00DA238C"/>
    <w:rsid w:val="00DA290D"/>
    <w:rsid w:val="00DA40E3"/>
    <w:rsid w:val="00DA418B"/>
    <w:rsid w:val="00DA5F5E"/>
    <w:rsid w:val="00DB103F"/>
    <w:rsid w:val="00DB10D6"/>
    <w:rsid w:val="00DB1AB9"/>
    <w:rsid w:val="00DB1B5B"/>
    <w:rsid w:val="00DB1C2E"/>
    <w:rsid w:val="00DB1F87"/>
    <w:rsid w:val="00DB3D1F"/>
    <w:rsid w:val="00DB4F93"/>
    <w:rsid w:val="00DB5178"/>
    <w:rsid w:val="00DB536A"/>
    <w:rsid w:val="00DB5EB9"/>
    <w:rsid w:val="00DB74AA"/>
    <w:rsid w:val="00DB7889"/>
    <w:rsid w:val="00DC02B9"/>
    <w:rsid w:val="00DC0E35"/>
    <w:rsid w:val="00DC2222"/>
    <w:rsid w:val="00DC2CA7"/>
    <w:rsid w:val="00DC2DA2"/>
    <w:rsid w:val="00DC373B"/>
    <w:rsid w:val="00DC403F"/>
    <w:rsid w:val="00DC424D"/>
    <w:rsid w:val="00DC4DFD"/>
    <w:rsid w:val="00DC4E37"/>
    <w:rsid w:val="00DC573D"/>
    <w:rsid w:val="00DC5A67"/>
    <w:rsid w:val="00DC64FE"/>
    <w:rsid w:val="00DC7729"/>
    <w:rsid w:val="00DC79EE"/>
    <w:rsid w:val="00DD0334"/>
    <w:rsid w:val="00DD0F80"/>
    <w:rsid w:val="00DD14EC"/>
    <w:rsid w:val="00DD1DFF"/>
    <w:rsid w:val="00DD21EE"/>
    <w:rsid w:val="00DD24FF"/>
    <w:rsid w:val="00DD2AD8"/>
    <w:rsid w:val="00DD2C38"/>
    <w:rsid w:val="00DD35A8"/>
    <w:rsid w:val="00DD3FC6"/>
    <w:rsid w:val="00DD40B4"/>
    <w:rsid w:val="00DD617D"/>
    <w:rsid w:val="00DD7911"/>
    <w:rsid w:val="00DE089D"/>
    <w:rsid w:val="00DE15C5"/>
    <w:rsid w:val="00DE190F"/>
    <w:rsid w:val="00DE1B5C"/>
    <w:rsid w:val="00DE2621"/>
    <w:rsid w:val="00DE3C40"/>
    <w:rsid w:val="00DE4CE5"/>
    <w:rsid w:val="00DE4D11"/>
    <w:rsid w:val="00DE5CC5"/>
    <w:rsid w:val="00DF0866"/>
    <w:rsid w:val="00DF173C"/>
    <w:rsid w:val="00DF272F"/>
    <w:rsid w:val="00DF2869"/>
    <w:rsid w:val="00DF296E"/>
    <w:rsid w:val="00DF3681"/>
    <w:rsid w:val="00DF3EB6"/>
    <w:rsid w:val="00DF4677"/>
    <w:rsid w:val="00DF4B68"/>
    <w:rsid w:val="00DF561F"/>
    <w:rsid w:val="00DF75ED"/>
    <w:rsid w:val="00DF7D52"/>
    <w:rsid w:val="00DF7E19"/>
    <w:rsid w:val="00E013DF"/>
    <w:rsid w:val="00E01C4B"/>
    <w:rsid w:val="00E01EE9"/>
    <w:rsid w:val="00E03120"/>
    <w:rsid w:val="00E03C81"/>
    <w:rsid w:val="00E04048"/>
    <w:rsid w:val="00E050EC"/>
    <w:rsid w:val="00E05199"/>
    <w:rsid w:val="00E06434"/>
    <w:rsid w:val="00E072AB"/>
    <w:rsid w:val="00E07353"/>
    <w:rsid w:val="00E109EB"/>
    <w:rsid w:val="00E111C1"/>
    <w:rsid w:val="00E112C9"/>
    <w:rsid w:val="00E12078"/>
    <w:rsid w:val="00E12807"/>
    <w:rsid w:val="00E13215"/>
    <w:rsid w:val="00E13245"/>
    <w:rsid w:val="00E14F0F"/>
    <w:rsid w:val="00E20A7B"/>
    <w:rsid w:val="00E21AA2"/>
    <w:rsid w:val="00E232A9"/>
    <w:rsid w:val="00E23591"/>
    <w:rsid w:val="00E242F7"/>
    <w:rsid w:val="00E24329"/>
    <w:rsid w:val="00E25F19"/>
    <w:rsid w:val="00E260D9"/>
    <w:rsid w:val="00E2778E"/>
    <w:rsid w:val="00E27F14"/>
    <w:rsid w:val="00E30809"/>
    <w:rsid w:val="00E30D4B"/>
    <w:rsid w:val="00E313D7"/>
    <w:rsid w:val="00E315CB"/>
    <w:rsid w:val="00E32A7B"/>
    <w:rsid w:val="00E33D7B"/>
    <w:rsid w:val="00E350C5"/>
    <w:rsid w:val="00E35985"/>
    <w:rsid w:val="00E35D6E"/>
    <w:rsid w:val="00E36AD8"/>
    <w:rsid w:val="00E36CEC"/>
    <w:rsid w:val="00E3703C"/>
    <w:rsid w:val="00E374A9"/>
    <w:rsid w:val="00E37DEB"/>
    <w:rsid w:val="00E404BB"/>
    <w:rsid w:val="00E418C2"/>
    <w:rsid w:val="00E4210A"/>
    <w:rsid w:val="00E42458"/>
    <w:rsid w:val="00E428FD"/>
    <w:rsid w:val="00E42B37"/>
    <w:rsid w:val="00E42CA1"/>
    <w:rsid w:val="00E438CB"/>
    <w:rsid w:val="00E4466B"/>
    <w:rsid w:val="00E45ACA"/>
    <w:rsid w:val="00E463F5"/>
    <w:rsid w:val="00E52265"/>
    <w:rsid w:val="00E53462"/>
    <w:rsid w:val="00E54E43"/>
    <w:rsid w:val="00E566CD"/>
    <w:rsid w:val="00E56E5F"/>
    <w:rsid w:val="00E57B45"/>
    <w:rsid w:val="00E57CC8"/>
    <w:rsid w:val="00E57E65"/>
    <w:rsid w:val="00E62274"/>
    <w:rsid w:val="00E6273C"/>
    <w:rsid w:val="00E6282B"/>
    <w:rsid w:val="00E62A8E"/>
    <w:rsid w:val="00E62F0E"/>
    <w:rsid w:val="00E63DE1"/>
    <w:rsid w:val="00E643BC"/>
    <w:rsid w:val="00E64564"/>
    <w:rsid w:val="00E64A0A"/>
    <w:rsid w:val="00E652B3"/>
    <w:rsid w:val="00E65E8A"/>
    <w:rsid w:val="00E6733D"/>
    <w:rsid w:val="00E67703"/>
    <w:rsid w:val="00E704CD"/>
    <w:rsid w:val="00E70A7B"/>
    <w:rsid w:val="00E70EF5"/>
    <w:rsid w:val="00E70FA2"/>
    <w:rsid w:val="00E713EF"/>
    <w:rsid w:val="00E72331"/>
    <w:rsid w:val="00E72E56"/>
    <w:rsid w:val="00E73338"/>
    <w:rsid w:val="00E73610"/>
    <w:rsid w:val="00E74801"/>
    <w:rsid w:val="00E74AC9"/>
    <w:rsid w:val="00E7673C"/>
    <w:rsid w:val="00E77062"/>
    <w:rsid w:val="00E80E68"/>
    <w:rsid w:val="00E8115C"/>
    <w:rsid w:val="00E8162A"/>
    <w:rsid w:val="00E81926"/>
    <w:rsid w:val="00E820AE"/>
    <w:rsid w:val="00E8297A"/>
    <w:rsid w:val="00E839D9"/>
    <w:rsid w:val="00E83B2A"/>
    <w:rsid w:val="00E842D3"/>
    <w:rsid w:val="00E846F6"/>
    <w:rsid w:val="00E84907"/>
    <w:rsid w:val="00E85A9F"/>
    <w:rsid w:val="00E85F29"/>
    <w:rsid w:val="00E86252"/>
    <w:rsid w:val="00E86B1D"/>
    <w:rsid w:val="00E8708E"/>
    <w:rsid w:val="00E873D1"/>
    <w:rsid w:val="00E87F99"/>
    <w:rsid w:val="00E87FED"/>
    <w:rsid w:val="00E900C1"/>
    <w:rsid w:val="00E90872"/>
    <w:rsid w:val="00E90A06"/>
    <w:rsid w:val="00E9135F"/>
    <w:rsid w:val="00E92572"/>
    <w:rsid w:val="00E9398D"/>
    <w:rsid w:val="00E942E1"/>
    <w:rsid w:val="00E94CC2"/>
    <w:rsid w:val="00E95213"/>
    <w:rsid w:val="00E95915"/>
    <w:rsid w:val="00E95E3A"/>
    <w:rsid w:val="00E969BC"/>
    <w:rsid w:val="00EA0E76"/>
    <w:rsid w:val="00EA0EBC"/>
    <w:rsid w:val="00EA0FBA"/>
    <w:rsid w:val="00EA13A4"/>
    <w:rsid w:val="00EA15C1"/>
    <w:rsid w:val="00EA2257"/>
    <w:rsid w:val="00EA25D4"/>
    <w:rsid w:val="00EA3065"/>
    <w:rsid w:val="00EA3C2C"/>
    <w:rsid w:val="00EA5514"/>
    <w:rsid w:val="00EA5E48"/>
    <w:rsid w:val="00EA6CDE"/>
    <w:rsid w:val="00EB0A87"/>
    <w:rsid w:val="00EB1145"/>
    <w:rsid w:val="00EB1EA8"/>
    <w:rsid w:val="00EB288E"/>
    <w:rsid w:val="00EB2B50"/>
    <w:rsid w:val="00EB3138"/>
    <w:rsid w:val="00EB3861"/>
    <w:rsid w:val="00EB399D"/>
    <w:rsid w:val="00EB3DE6"/>
    <w:rsid w:val="00EB6688"/>
    <w:rsid w:val="00EB673E"/>
    <w:rsid w:val="00EB6956"/>
    <w:rsid w:val="00EB70E1"/>
    <w:rsid w:val="00EB7C33"/>
    <w:rsid w:val="00EB7D83"/>
    <w:rsid w:val="00EC01C9"/>
    <w:rsid w:val="00EC0EC6"/>
    <w:rsid w:val="00EC0EF3"/>
    <w:rsid w:val="00EC1484"/>
    <w:rsid w:val="00EC175D"/>
    <w:rsid w:val="00EC1AFA"/>
    <w:rsid w:val="00EC1EA1"/>
    <w:rsid w:val="00EC3A60"/>
    <w:rsid w:val="00EC404C"/>
    <w:rsid w:val="00EC44A6"/>
    <w:rsid w:val="00EC510E"/>
    <w:rsid w:val="00EC66B4"/>
    <w:rsid w:val="00EC7229"/>
    <w:rsid w:val="00EC7D75"/>
    <w:rsid w:val="00ED005C"/>
    <w:rsid w:val="00ED00E0"/>
    <w:rsid w:val="00ED0CEF"/>
    <w:rsid w:val="00ED0D0F"/>
    <w:rsid w:val="00ED1413"/>
    <w:rsid w:val="00ED2400"/>
    <w:rsid w:val="00ED26AE"/>
    <w:rsid w:val="00ED2D91"/>
    <w:rsid w:val="00ED316A"/>
    <w:rsid w:val="00ED4496"/>
    <w:rsid w:val="00ED5E33"/>
    <w:rsid w:val="00ED751F"/>
    <w:rsid w:val="00ED79D6"/>
    <w:rsid w:val="00EE042F"/>
    <w:rsid w:val="00EE1266"/>
    <w:rsid w:val="00EE291C"/>
    <w:rsid w:val="00EE2C58"/>
    <w:rsid w:val="00EE366D"/>
    <w:rsid w:val="00EE3B4E"/>
    <w:rsid w:val="00EE3B73"/>
    <w:rsid w:val="00EE4581"/>
    <w:rsid w:val="00EE534B"/>
    <w:rsid w:val="00EE594B"/>
    <w:rsid w:val="00EE602C"/>
    <w:rsid w:val="00EE6375"/>
    <w:rsid w:val="00EE737C"/>
    <w:rsid w:val="00EE75B9"/>
    <w:rsid w:val="00EF099B"/>
    <w:rsid w:val="00EF1AA7"/>
    <w:rsid w:val="00EF1D14"/>
    <w:rsid w:val="00EF1E69"/>
    <w:rsid w:val="00EF235C"/>
    <w:rsid w:val="00EF2D8B"/>
    <w:rsid w:val="00EF2D98"/>
    <w:rsid w:val="00EF3509"/>
    <w:rsid w:val="00EF42EC"/>
    <w:rsid w:val="00EF4BB5"/>
    <w:rsid w:val="00EF51F8"/>
    <w:rsid w:val="00EF5BDD"/>
    <w:rsid w:val="00EF651A"/>
    <w:rsid w:val="00EF69A4"/>
    <w:rsid w:val="00EF70FB"/>
    <w:rsid w:val="00EF72A4"/>
    <w:rsid w:val="00F01043"/>
    <w:rsid w:val="00F01965"/>
    <w:rsid w:val="00F028DF"/>
    <w:rsid w:val="00F0305A"/>
    <w:rsid w:val="00F043F6"/>
    <w:rsid w:val="00F046D3"/>
    <w:rsid w:val="00F04E98"/>
    <w:rsid w:val="00F051BA"/>
    <w:rsid w:val="00F0586D"/>
    <w:rsid w:val="00F0594C"/>
    <w:rsid w:val="00F05A58"/>
    <w:rsid w:val="00F07A57"/>
    <w:rsid w:val="00F10088"/>
    <w:rsid w:val="00F11D27"/>
    <w:rsid w:val="00F120DE"/>
    <w:rsid w:val="00F12640"/>
    <w:rsid w:val="00F13979"/>
    <w:rsid w:val="00F13E5A"/>
    <w:rsid w:val="00F14501"/>
    <w:rsid w:val="00F14B1D"/>
    <w:rsid w:val="00F1530D"/>
    <w:rsid w:val="00F1658A"/>
    <w:rsid w:val="00F16621"/>
    <w:rsid w:val="00F17388"/>
    <w:rsid w:val="00F174C3"/>
    <w:rsid w:val="00F20568"/>
    <w:rsid w:val="00F20CA0"/>
    <w:rsid w:val="00F210A1"/>
    <w:rsid w:val="00F225A0"/>
    <w:rsid w:val="00F228D8"/>
    <w:rsid w:val="00F25499"/>
    <w:rsid w:val="00F26370"/>
    <w:rsid w:val="00F265D5"/>
    <w:rsid w:val="00F26630"/>
    <w:rsid w:val="00F26761"/>
    <w:rsid w:val="00F26DBC"/>
    <w:rsid w:val="00F30185"/>
    <w:rsid w:val="00F323CA"/>
    <w:rsid w:val="00F32D95"/>
    <w:rsid w:val="00F333CC"/>
    <w:rsid w:val="00F33CA0"/>
    <w:rsid w:val="00F346EF"/>
    <w:rsid w:val="00F34E5D"/>
    <w:rsid w:val="00F35187"/>
    <w:rsid w:val="00F36173"/>
    <w:rsid w:val="00F363E8"/>
    <w:rsid w:val="00F36E8A"/>
    <w:rsid w:val="00F4011E"/>
    <w:rsid w:val="00F4030B"/>
    <w:rsid w:val="00F41BD1"/>
    <w:rsid w:val="00F427E7"/>
    <w:rsid w:val="00F438C0"/>
    <w:rsid w:val="00F43C7D"/>
    <w:rsid w:val="00F45302"/>
    <w:rsid w:val="00F46AAF"/>
    <w:rsid w:val="00F47612"/>
    <w:rsid w:val="00F479AD"/>
    <w:rsid w:val="00F51A79"/>
    <w:rsid w:val="00F52369"/>
    <w:rsid w:val="00F53007"/>
    <w:rsid w:val="00F54A72"/>
    <w:rsid w:val="00F54C62"/>
    <w:rsid w:val="00F552B5"/>
    <w:rsid w:val="00F559A9"/>
    <w:rsid w:val="00F5626D"/>
    <w:rsid w:val="00F56483"/>
    <w:rsid w:val="00F56540"/>
    <w:rsid w:val="00F60657"/>
    <w:rsid w:val="00F60C94"/>
    <w:rsid w:val="00F61987"/>
    <w:rsid w:val="00F6300D"/>
    <w:rsid w:val="00F634C3"/>
    <w:rsid w:val="00F636CC"/>
    <w:rsid w:val="00F63F8F"/>
    <w:rsid w:val="00F644ED"/>
    <w:rsid w:val="00F64DCD"/>
    <w:rsid w:val="00F65DE1"/>
    <w:rsid w:val="00F66250"/>
    <w:rsid w:val="00F663E9"/>
    <w:rsid w:val="00F67536"/>
    <w:rsid w:val="00F67744"/>
    <w:rsid w:val="00F7117B"/>
    <w:rsid w:val="00F72BE4"/>
    <w:rsid w:val="00F72EC7"/>
    <w:rsid w:val="00F72F27"/>
    <w:rsid w:val="00F7329B"/>
    <w:rsid w:val="00F73541"/>
    <w:rsid w:val="00F73D6C"/>
    <w:rsid w:val="00F74075"/>
    <w:rsid w:val="00F7508A"/>
    <w:rsid w:val="00F7517A"/>
    <w:rsid w:val="00F759B8"/>
    <w:rsid w:val="00F75CBE"/>
    <w:rsid w:val="00F75EA6"/>
    <w:rsid w:val="00F75F08"/>
    <w:rsid w:val="00F8056D"/>
    <w:rsid w:val="00F8065D"/>
    <w:rsid w:val="00F80FFC"/>
    <w:rsid w:val="00F8102B"/>
    <w:rsid w:val="00F825F3"/>
    <w:rsid w:val="00F837D9"/>
    <w:rsid w:val="00F83DEC"/>
    <w:rsid w:val="00F84396"/>
    <w:rsid w:val="00F86243"/>
    <w:rsid w:val="00F87C29"/>
    <w:rsid w:val="00F87DC2"/>
    <w:rsid w:val="00F908C6"/>
    <w:rsid w:val="00F90EA3"/>
    <w:rsid w:val="00F90FB5"/>
    <w:rsid w:val="00F91D6D"/>
    <w:rsid w:val="00F9207B"/>
    <w:rsid w:val="00F922CF"/>
    <w:rsid w:val="00F93879"/>
    <w:rsid w:val="00F939E8"/>
    <w:rsid w:val="00F94AC2"/>
    <w:rsid w:val="00F954E4"/>
    <w:rsid w:val="00F962DE"/>
    <w:rsid w:val="00F96DEC"/>
    <w:rsid w:val="00F96E10"/>
    <w:rsid w:val="00F97ABB"/>
    <w:rsid w:val="00F97CF5"/>
    <w:rsid w:val="00F97EDD"/>
    <w:rsid w:val="00FA1DC2"/>
    <w:rsid w:val="00FA1E89"/>
    <w:rsid w:val="00FA2CC4"/>
    <w:rsid w:val="00FA3DC0"/>
    <w:rsid w:val="00FA5B42"/>
    <w:rsid w:val="00FA5EAC"/>
    <w:rsid w:val="00FA78A4"/>
    <w:rsid w:val="00FA7A4E"/>
    <w:rsid w:val="00FB0CCB"/>
    <w:rsid w:val="00FB4818"/>
    <w:rsid w:val="00FB4C2A"/>
    <w:rsid w:val="00FB55DD"/>
    <w:rsid w:val="00FB573F"/>
    <w:rsid w:val="00FB5F40"/>
    <w:rsid w:val="00FB72E0"/>
    <w:rsid w:val="00FC0380"/>
    <w:rsid w:val="00FC0F43"/>
    <w:rsid w:val="00FC12CA"/>
    <w:rsid w:val="00FC27D6"/>
    <w:rsid w:val="00FC2D64"/>
    <w:rsid w:val="00FC37FD"/>
    <w:rsid w:val="00FC3D8C"/>
    <w:rsid w:val="00FC406F"/>
    <w:rsid w:val="00FC424D"/>
    <w:rsid w:val="00FC48CB"/>
    <w:rsid w:val="00FC51C6"/>
    <w:rsid w:val="00FC579B"/>
    <w:rsid w:val="00FC5C23"/>
    <w:rsid w:val="00FC6785"/>
    <w:rsid w:val="00FC6803"/>
    <w:rsid w:val="00FC6F92"/>
    <w:rsid w:val="00FD0578"/>
    <w:rsid w:val="00FD0622"/>
    <w:rsid w:val="00FD12EC"/>
    <w:rsid w:val="00FD155D"/>
    <w:rsid w:val="00FD1747"/>
    <w:rsid w:val="00FD18F4"/>
    <w:rsid w:val="00FD22B6"/>
    <w:rsid w:val="00FD6270"/>
    <w:rsid w:val="00FD7408"/>
    <w:rsid w:val="00FE02EA"/>
    <w:rsid w:val="00FE25A1"/>
    <w:rsid w:val="00FE2C30"/>
    <w:rsid w:val="00FE507C"/>
    <w:rsid w:val="00FE5121"/>
    <w:rsid w:val="00FE52A7"/>
    <w:rsid w:val="00FE7717"/>
    <w:rsid w:val="00FE7EE7"/>
    <w:rsid w:val="00FE7FDD"/>
    <w:rsid w:val="00FF06CD"/>
    <w:rsid w:val="00FF3292"/>
    <w:rsid w:val="00FF37C4"/>
    <w:rsid w:val="00FF3A70"/>
    <w:rsid w:val="00FF3AF6"/>
    <w:rsid w:val="00FF3BD6"/>
    <w:rsid w:val="00FF4A9B"/>
    <w:rsid w:val="00FF4CE8"/>
    <w:rsid w:val="00FF51BF"/>
    <w:rsid w:val="00FF54BC"/>
    <w:rsid w:val="00FF5B1F"/>
    <w:rsid w:val="00FF6B51"/>
    <w:rsid w:val="00FF7E0B"/>
    <w:rsid w:val="015827B4"/>
    <w:rsid w:val="01AA71F5"/>
    <w:rsid w:val="02092B73"/>
    <w:rsid w:val="028B759C"/>
    <w:rsid w:val="02B11EFA"/>
    <w:rsid w:val="030B537E"/>
    <w:rsid w:val="031E36AB"/>
    <w:rsid w:val="033A3904"/>
    <w:rsid w:val="03823FE7"/>
    <w:rsid w:val="03CE1FC9"/>
    <w:rsid w:val="03ED4B8F"/>
    <w:rsid w:val="04223D05"/>
    <w:rsid w:val="04761464"/>
    <w:rsid w:val="049E5814"/>
    <w:rsid w:val="04CF7547"/>
    <w:rsid w:val="04EF35BB"/>
    <w:rsid w:val="052C6A03"/>
    <w:rsid w:val="053F4CEA"/>
    <w:rsid w:val="058C0E1D"/>
    <w:rsid w:val="05A85265"/>
    <w:rsid w:val="05B67B3E"/>
    <w:rsid w:val="06172D2B"/>
    <w:rsid w:val="0653140F"/>
    <w:rsid w:val="066613E0"/>
    <w:rsid w:val="067D1477"/>
    <w:rsid w:val="06CC0A35"/>
    <w:rsid w:val="07376B5B"/>
    <w:rsid w:val="073E1596"/>
    <w:rsid w:val="074A5C76"/>
    <w:rsid w:val="07594161"/>
    <w:rsid w:val="07817A9F"/>
    <w:rsid w:val="07DE7BE2"/>
    <w:rsid w:val="084D0287"/>
    <w:rsid w:val="085F6FC2"/>
    <w:rsid w:val="090B6C59"/>
    <w:rsid w:val="09296316"/>
    <w:rsid w:val="0983393D"/>
    <w:rsid w:val="099D18B5"/>
    <w:rsid w:val="09EA33C4"/>
    <w:rsid w:val="09F43490"/>
    <w:rsid w:val="09FC2DB1"/>
    <w:rsid w:val="0A35554F"/>
    <w:rsid w:val="0A81049C"/>
    <w:rsid w:val="0A8D75B1"/>
    <w:rsid w:val="0AC1158A"/>
    <w:rsid w:val="0B0763DA"/>
    <w:rsid w:val="0BF57DE5"/>
    <w:rsid w:val="0BFC1061"/>
    <w:rsid w:val="0C2E7207"/>
    <w:rsid w:val="0C3F0F47"/>
    <w:rsid w:val="0C454828"/>
    <w:rsid w:val="0C4976D6"/>
    <w:rsid w:val="0CA32B35"/>
    <w:rsid w:val="0D0E74CD"/>
    <w:rsid w:val="0D111BF4"/>
    <w:rsid w:val="0D3754E0"/>
    <w:rsid w:val="0D566182"/>
    <w:rsid w:val="0D98281F"/>
    <w:rsid w:val="0D9E6D6E"/>
    <w:rsid w:val="0DE2198A"/>
    <w:rsid w:val="0E7D6254"/>
    <w:rsid w:val="0E8F01B4"/>
    <w:rsid w:val="0EA6171C"/>
    <w:rsid w:val="0F465123"/>
    <w:rsid w:val="0F634E4C"/>
    <w:rsid w:val="0F7A6BE7"/>
    <w:rsid w:val="0F9557FC"/>
    <w:rsid w:val="0FE56A97"/>
    <w:rsid w:val="0FEF0956"/>
    <w:rsid w:val="10680771"/>
    <w:rsid w:val="10702130"/>
    <w:rsid w:val="108C7187"/>
    <w:rsid w:val="108C71EB"/>
    <w:rsid w:val="10DD0BCC"/>
    <w:rsid w:val="111C420A"/>
    <w:rsid w:val="115D157E"/>
    <w:rsid w:val="1176515F"/>
    <w:rsid w:val="11A00E45"/>
    <w:rsid w:val="11CD1A42"/>
    <w:rsid w:val="120841B5"/>
    <w:rsid w:val="122405F7"/>
    <w:rsid w:val="123C5EB2"/>
    <w:rsid w:val="131E3A1E"/>
    <w:rsid w:val="133E10FF"/>
    <w:rsid w:val="134162E5"/>
    <w:rsid w:val="1355047D"/>
    <w:rsid w:val="13966A26"/>
    <w:rsid w:val="13CB1BE5"/>
    <w:rsid w:val="13D23F55"/>
    <w:rsid w:val="13D41611"/>
    <w:rsid w:val="13FA1299"/>
    <w:rsid w:val="13FA251F"/>
    <w:rsid w:val="140B7D0B"/>
    <w:rsid w:val="14246B23"/>
    <w:rsid w:val="147560DB"/>
    <w:rsid w:val="14D26276"/>
    <w:rsid w:val="15090A70"/>
    <w:rsid w:val="159C3459"/>
    <w:rsid w:val="15C80049"/>
    <w:rsid w:val="15DD6F1D"/>
    <w:rsid w:val="160C60A5"/>
    <w:rsid w:val="164B0061"/>
    <w:rsid w:val="17286F26"/>
    <w:rsid w:val="176B61D9"/>
    <w:rsid w:val="17826816"/>
    <w:rsid w:val="18322A41"/>
    <w:rsid w:val="18680171"/>
    <w:rsid w:val="186B56B7"/>
    <w:rsid w:val="18705B77"/>
    <w:rsid w:val="18965E12"/>
    <w:rsid w:val="18B71C06"/>
    <w:rsid w:val="190F26E0"/>
    <w:rsid w:val="191752C5"/>
    <w:rsid w:val="1967357D"/>
    <w:rsid w:val="19817543"/>
    <w:rsid w:val="198567EB"/>
    <w:rsid w:val="19A04C2C"/>
    <w:rsid w:val="19B64DBC"/>
    <w:rsid w:val="19D21A00"/>
    <w:rsid w:val="1A564152"/>
    <w:rsid w:val="1A967CAD"/>
    <w:rsid w:val="1B334765"/>
    <w:rsid w:val="1B620B77"/>
    <w:rsid w:val="1B7D3E4F"/>
    <w:rsid w:val="1B882E67"/>
    <w:rsid w:val="1B9708D9"/>
    <w:rsid w:val="1BA85A67"/>
    <w:rsid w:val="1BBD66E5"/>
    <w:rsid w:val="1C0C428E"/>
    <w:rsid w:val="1C1A2BA3"/>
    <w:rsid w:val="1CB37DC7"/>
    <w:rsid w:val="1CB842F4"/>
    <w:rsid w:val="1CE05C7B"/>
    <w:rsid w:val="1CF13DCE"/>
    <w:rsid w:val="1CF3558E"/>
    <w:rsid w:val="1D0111FA"/>
    <w:rsid w:val="1D1573F2"/>
    <w:rsid w:val="1D4C3AA1"/>
    <w:rsid w:val="1D81649B"/>
    <w:rsid w:val="1D941050"/>
    <w:rsid w:val="1DC541E6"/>
    <w:rsid w:val="1DED007A"/>
    <w:rsid w:val="1DF33B32"/>
    <w:rsid w:val="1DFE6130"/>
    <w:rsid w:val="1ED82CC9"/>
    <w:rsid w:val="1F4112C9"/>
    <w:rsid w:val="1F6601BF"/>
    <w:rsid w:val="1F700D61"/>
    <w:rsid w:val="200A2F36"/>
    <w:rsid w:val="204A0935"/>
    <w:rsid w:val="20855A85"/>
    <w:rsid w:val="210152D8"/>
    <w:rsid w:val="210A0B1F"/>
    <w:rsid w:val="21E337CA"/>
    <w:rsid w:val="221C613B"/>
    <w:rsid w:val="221F5AA2"/>
    <w:rsid w:val="22456166"/>
    <w:rsid w:val="23170439"/>
    <w:rsid w:val="23606EEB"/>
    <w:rsid w:val="2381131C"/>
    <w:rsid w:val="23910CAC"/>
    <w:rsid w:val="23D610FC"/>
    <w:rsid w:val="23F17D4F"/>
    <w:rsid w:val="24FE085D"/>
    <w:rsid w:val="25040E87"/>
    <w:rsid w:val="25115979"/>
    <w:rsid w:val="251B1424"/>
    <w:rsid w:val="253B2CC6"/>
    <w:rsid w:val="255516E1"/>
    <w:rsid w:val="25741A3D"/>
    <w:rsid w:val="257E5258"/>
    <w:rsid w:val="25B24469"/>
    <w:rsid w:val="2601604A"/>
    <w:rsid w:val="265E592F"/>
    <w:rsid w:val="267F5AA7"/>
    <w:rsid w:val="26BF3F9F"/>
    <w:rsid w:val="26D84070"/>
    <w:rsid w:val="272B4552"/>
    <w:rsid w:val="27917008"/>
    <w:rsid w:val="27925420"/>
    <w:rsid w:val="27A33EE4"/>
    <w:rsid w:val="282442DC"/>
    <w:rsid w:val="282C759C"/>
    <w:rsid w:val="286642F5"/>
    <w:rsid w:val="289E5CC0"/>
    <w:rsid w:val="28E63370"/>
    <w:rsid w:val="29067FE0"/>
    <w:rsid w:val="29396C32"/>
    <w:rsid w:val="298A2361"/>
    <w:rsid w:val="29965C09"/>
    <w:rsid w:val="29BF13B1"/>
    <w:rsid w:val="2A1D5111"/>
    <w:rsid w:val="2A2D4905"/>
    <w:rsid w:val="2A7B7D0B"/>
    <w:rsid w:val="2A946357"/>
    <w:rsid w:val="2ABE5A1C"/>
    <w:rsid w:val="2AC42771"/>
    <w:rsid w:val="2ACB4BA2"/>
    <w:rsid w:val="2B0850EF"/>
    <w:rsid w:val="2BAC5CBC"/>
    <w:rsid w:val="2BDF6B05"/>
    <w:rsid w:val="2C4A6431"/>
    <w:rsid w:val="2C4D3655"/>
    <w:rsid w:val="2C531CF4"/>
    <w:rsid w:val="2C872AF6"/>
    <w:rsid w:val="2CA9241A"/>
    <w:rsid w:val="2D396DFE"/>
    <w:rsid w:val="2D6C1ACB"/>
    <w:rsid w:val="2DF62A58"/>
    <w:rsid w:val="2E05224C"/>
    <w:rsid w:val="2E0F5EA0"/>
    <w:rsid w:val="2E2A4C61"/>
    <w:rsid w:val="2E5C710B"/>
    <w:rsid w:val="2E9723ED"/>
    <w:rsid w:val="2F131643"/>
    <w:rsid w:val="2F1733DB"/>
    <w:rsid w:val="2F97604B"/>
    <w:rsid w:val="2F9C657F"/>
    <w:rsid w:val="2FD71C09"/>
    <w:rsid w:val="30620631"/>
    <w:rsid w:val="309D40C5"/>
    <w:rsid w:val="30C068BB"/>
    <w:rsid w:val="30E61DC6"/>
    <w:rsid w:val="317020EC"/>
    <w:rsid w:val="317512BC"/>
    <w:rsid w:val="319874B8"/>
    <w:rsid w:val="31BF3F7B"/>
    <w:rsid w:val="31DD10FC"/>
    <w:rsid w:val="31EF2884"/>
    <w:rsid w:val="32006B8D"/>
    <w:rsid w:val="32026CD4"/>
    <w:rsid w:val="3218343D"/>
    <w:rsid w:val="3248259D"/>
    <w:rsid w:val="32900103"/>
    <w:rsid w:val="330734E0"/>
    <w:rsid w:val="331B31A7"/>
    <w:rsid w:val="33511C2A"/>
    <w:rsid w:val="33611B31"/>
    <w:rsid w:val="33843987"/>
    <w:rsid w:val="3422148B"/>
    <w:rsid w:val="34744CB3"/>
    <w:rsid w:val="349B63F2"/>
    <w:rsid w:val="34EE53EA"/>
    <w:rsid w:val="357B32F1"/>
    <w:rsid w:val="35F20F16"/>
    <w:rsid w:val="3665165C"/>
    <w:rsid w:val="36672157"/>
    <w:rsid w:val="36AD3FD8"/>
    <w:rsid w:val="36C129F6"/>
    <w:rsid w:val="36D06BCA"/>
    <w:rsid w:val="36E26E59"/>
    <w:rsid w:val="36E768FC"/>
    <w:rsid w:val="36F000F5"/>
    <w:rsid w:val="36F42F06"/>
    <w:rsid w:val="372A20C6"/>
    <w:rsid w:val="376E2BE3"/>
    <w:rsid w:val="37B84374"/>
    <w:rsid w:val="37F33A67"/>
    <w:rsid w:val="38186C96"/>
    <w:rsid w:val="3843769B"/>
    <w:rsid w:val="38637935"/>
    <w:rsid w:val="38957564"/>
    <w:rsid w:val="38CF108D"/>
    <w:rsid w:val="38E00957"/>
    <w:rsid w:val="39406AF4"/>
    <w:rsid w:val="395850A3"/>
    <w:rsid w:val="395C6A06"/>
    <w:rsid w:val="39787B56"/>
    <w:rsid w:val="39821A34"/>
    <w:rsid w:val="39E4743C"/>
    <w:rsid w:val="39F4186A"/>
    <w:rsid w:val="3A136A41"/>
    <w:rsid w:val="3A797AD9"/>
    <w:rsid w:val="3AE7465B"/>
    <w:rsid w:val="3BB11E0E"/>
    <w:rsid w:val="3C17152E"/>
    <w:rsid w:val="3C2C7781"/>
    <w:rsid w:val="3C3D3651"/>
    <w:rsid w:val="3C4F62E2"/>
    <w:rsid w:val="3D754DFC"/>
    <w:rsid w:val="3D9C2824"/>
    <w:rsid w:val="3DA20EAA"/>
    <w:rsid w:val="3DA2751D"/>
    <w:rsid w:val="3DD41EB0"/>
    <w:rsid w:val="3DE33DAE"/>
    <w:rsid w:val="3DED6BC6"/>
    <w:rsid w:val="3E14255C"/>
    <w:rsid w:val="3E917F91"/>
    <w:rsid w:val="3ED96F6F"/>
    <w:rsid w:val="3F205149"/>
    <w:rsid w:val="3F7304A3"/>
    <w:rsid w:val="3F997B08"/>
    <w:rsid w:val="3FB730E8"/>
    <w:rsid w:val="3FED2FA5"/>
    <w:rsid w:val="40450651"/>
    <w:rsid w:val="40B15FD9"/>
    <w:rsid w:val="40BF44A7"/>
    <w:rsid w:val="40E66A89"/>
    <w:rsid w:val="414816A1"/>
    <w:rsid w:val="415879AD"/>
    <w:rsid w:val="4214315B"/>
    <w:rsid w:val="426F444C"/>
    <w:rsid w:val="42A762EC"/>
    <w:rsid w:val="42FC5BF5"/>
    <w:rsid w:val="43217506"/>
    <w:rsid w:val="43594CBE"/>
    <w:rsid w:val="4446021E"/>
    <w:rsid w:val="444C48DD"/>
    <w:rsid w:val="44FC38EE"/>
    <w:rsid w:val="45124F88"/>
    <w:rsid w:val="45406DD6"/>
    <w:rsid w:val="45511957"/>
    <w:rsid w:val="45521815"/>
    <w:rsid w:val="45726963"/>
    <w:rsid w:val="45D439CC"/>
    <w:rsid w:val="46020C2D"/>
    <w:rsid w:val="460B5BFF"/>
    <w:rsid w:val="463827CD"/>
    <w:rsid w:val="46393B88"/>
    <w:rsid w:val="46E7191B"/>
    <w:rsid w:val="46FA73EB"/>
    <w:rsid w:val="4763732D"/>
    <w:rsid w:val="47B3526A"/>
    <w:rsid w:val="48072AD3"/>
    <w:rsid w:val="48090F5A"/>
    <w:rsid w:val="480A2FBE"/>
    <w:rsid w:val="480D75D7"/>
    <w:rsid w:val="48246E2A"/>
    <w:rsid w:val="48EB4922"/>
    <w:rsid w:val="490B7D2D"/>
    <w:rsid w:val="499D2F49"/>
    <w:rsid w:val="49A62736"/>
    <w:rsid w:val="4A0913CF"/>
    <w:rsid w:val="4A4B25F3"/>
    <w:rsid w:val="4A9D0D79"/>
    <w:rsid w:val="4AA46BE6"/>
    <w:rsid w:val="4AD31A14"/>
    <w:rsid w:val="4B2C3AA3"/>
    <w:rsid w:val="4B3C14D5"/>
    <w:rsid w:val="4BB364B5"/>
    <w:rsid w:val="4BE7296C"/>
    <w:rsid w:val="4C2F5518"/>
    <w:rsid w:val="4C3E5633"/>
    <w:rsid w:val="4C41484D"/>
    <w:rsid w:val="4C436157"/>
    <w:rsid w:val="4C842D2C"/>
    <w:rsid w:val="4D0314E7"/>
    <w:rsid w:val="4D086D75"/>
    <w:rsid w:val="4D0C1056"/>
    <w:rsid w:val="4D587592"/>
    <w:rsid w:val="4D5D712C"/>
    <w:rsid w:val="4D862070"/>
    <w:rsid w:val="4DA66FD8"/>
    <w:rsid w:val="4DD30B38"/>
    <w:rsid w:val="4E0E741B"/>
    <w:rsid w:val="4E3847B2"/>
    <w:rsid w:val="4E6D0ABA"/>
    <w:rsid w:val="4E7D04E2"/>
    <w:rsid w:val="4E852FEF"/>
    <w:rsid w:val="4EAA2880"/>
    <w:rsid w:val="4EB35ACA"/>
    <w:rsid w:val="4EC97B4E"/>
    <w:rsid w:val="4EEA6369"/>
    <w:rsid w:val="4EF00205"/>
    <w:rsid w:val="4F0D70FA"/>
    <w:rsid w:val="4F3A6B88"/>
    <w:rsid w:val="4F484A1D"/>
    <w:rsid w:val="4F6E5133"/>
    <w:rsid w:val="4F7E46EE"/>
    <w:rsid w:val="4F8A1D94"/>
    <w:rsid w:val="4F965A2A"/>
    <w:rsid w:val="4FD214B6"/>
    <w:rsid w:val="505067B2"/>
    <w:rsid w:val="508C0BD8"/>
    <w:rsid w:val="50B70204"/>
    <w:rsid w:val="50B76F83"/>
    <w:rsid w:val="50F33387"/>
    <w:rsid w:val="512300FD"/>
    <w:rsid w:val="513B6C3B"/>
    <w:rsid w:val="514B59AC"/>
    <w:rsid w:val="518B1C0D"/>
    <w:rsid w:val="51DD691E"/>
    <w:rsid w:val="5208399B"/>
    <w:rsid w:val="521E291B"/>
    <w:rsid w:val="523375AA"/>
    <w:rsid w:val="524F1A15"/>
    <w:rsid w:val="52690B7A"/>
    <w:rsid w:val="526C1BB1"/>
    <w:rsid w:val="533030D0"/>
    <w:rsid w:val="53814AF9"/>
    <w:rsid w:val="539E238F"/>
    <w:rsid w:val="53A36B46"/>
    <w:rsid w:val="53E21E30"/>
    <w:rsid w:val="53FE4A22"/>
    <w:rsid w:val="545E4E93"/>
    <w:rsid w:val="549A02EF"/>
    <w:rsid w:val="555E0A26"/>
    <w:rsid w:val="556B1157"/>
    <w:rsid w:val="556C7CAF"/>
    <w:rsid w:val="556E2A93"/>
    <w:rsid w:val="557200A0"/>
    <w:rsid w:val="558777AD"/>
    <w:rsid w:val="55A84C13"/>
    <w:rsid w:val="55C67A47"/>
    <w:rsid w:val="55CE508A"/>
    <w:rsid w:val="55D04192"/>
    <w:rsid w:val="55F25182"/>
    <w:rsid w:val="56095E53"/>
    <w:rsid w:val="5619486C"/>
    <w:rsid w:val="56D1468A"/>
    <w:rsid w:val="56D51E02"/>
    <w:rsid w:val="57260308"/>
    <w:rsid w:val="57596260"/>
    <w:rsid w:val="576559C9"/>
    <w:rsid w:val="57C07F02"/>
    <w:rsid w:val="57DB5464"/>
    <w:rsid w:val="57E12FB1"/>
    <w:rsid w:val="584457AB"/>
    <w:rsid w:val="58820119"/>
    <w:rsid w:val="58855707"/>
    <w:rsid w:val="588726F5"/>
    <w:rsid w:val="58925041"/>
    <w:rsid w:val="589F26F3"/>
    <w:rsid w:val="58BA24A1"/>
    <w:rsid w:val="591E454A"/>
    <w:rsid w:val="59203F46"/>
    <w:rsid w:val="59207B63"/>
    <w:rsid w:val="59307D50"/>
    <w:rsid w:val="5940227C"/>
    <w:rsid w:val="598A756E"/>
    <w:rsid w:val="59CC3933"/>
    <w:rsid w:val="59CD20E0"/>
    <w:rsid w:val="59D81467"/>
    <w:rsid w:val="5A6F0FAE"/>
    <w:rsid w:val="5A7200BB"/>
    <w:rsid w:val="5AB739C5"/>
    <w:rsid w:val="5AF1406D"/>
    <w:rsid w:val="5AFE2525"/>
    <w:rsid w:val="5B06413A"/>
    <w:rsid w:val="5B0E1573"/>
    <w:rsid w:val="5B0E26F2"/>
    <w:rsid w:val="5B8E7DED"/>
    <w:rsid w:val="5C341B7D"/>
    <w:rsid w:val="5C7E7FBE"/>
    <w:rsid w:val="5C9659ED"/>
    <w:rsid w:val="5CC94A14"/>
    <w:rsid w:val="5CD77C48"/>
    <w:rsid w:val="5CFD2ED9"/>
    <w:rsid w:val="5D235614"/>
    <w:rsid w:val="5D537607"/>
    <w:rsid w:val="5D8E4579"/>
    <w:rsid w:val="5DA01153"/>
    <w:rsid w:val="5DA43C0A"/>
    <w:rsid w:val="5DB174C2"/>
    <w:rsid w:val="5DBE5AF9"/>
    <w:rsid w:val="5E005E6E"/>
    <w:rsid w:val="5E282CCF"/>
    <w:rsid w:val="5E8E142B"/>
    <w:rsid w:val="5E9A507C"/>
    <w:rsid w:val="5EAF6E25"/>
    <w:rsid w:val="5ECA4CEF"/>
    <w:rsid w:val="5EF63455"/>
    <w:rsid w:val="5F171E5B"/>
    <w:rsid w:val="5FD67468"/>
    <w:rsid w:val="60531D11"/>
    <w:rsid w:val="605C1EDA"/>
    <w:rsid w:val="60885D5A"/>
    <w:rsid w:val="60C57C4C"/>
    <w:rsid w:val="61004232"/>
    <w:rsid w:val="610B7AAB"/>
    <w:rsid w:val="61404F69"/>
    <w:rsid w:val="614B0224"/>
    <w:rsid w:val="616F4500"/>
    <w:rsid w:val="61E86EB5"/>
    <w:rsid w:val="6205712B"/>
    <w:rsid w:val="623D5EBE"/>
    <w:rsid w:val="625A1D38"/>
    <w:rsid w:val="62C236F2"/>
    <w:rsid w:val="62C91673"/>
    <w:rsid w:val="63176037"/>
    <w:rsid w:val="63985C7D"/>
    <w:rsid w:val="63991BF4"/>
    <w:rsid w:val="63AD269F"/>
    <w:rsid w:val="63B153A9"/>
    <w:rsid w:val="64552D5A"/>
    <w:rsid w:val="64990483"/>
    <w:rsid w:val="64E676C6"/>
    <w:rsid w:val="650D3C56"/>
    <w:rsid w:val="65104108"/>
    <w:rsid w:val="652E2F35"/>
    <w:rsid w:val="65596B18"/>
    <w:rsid w:val="65647C6A"/>
    <w:rsid w:val="65657D7F"/>
    <w:rsid w:val="658E4EC5"/>
    <w:rsid w:val="6595330A"/>
    <w:rsid w:val="660006C4"/>
    <w:rsid w:val="66224E39"/>
    <w:rsid w:val="675D134E"/>
    <w:rsid w:val="676D375E"/>
    <w:rsid w:val="680D7541"/>
    <w:rsid w:val="683274FB"/>
    <w:rsid w:val="6852390B"/>
    <w:rsid w:val="685C2AAD"/>
    <w:rsid w:val="687D7BFF"/>
    <w:rsid w:val="687E516D"/>
    <w:rsid w:val="68B51559"/>
    <w:rsid w:val="68BE7F21"/>
    <w:rsid w:val="68DA4F93"/>
    <w:rsid w:val="69475245"/>
    <w:rsid w:val="697828DE"/>
    <w:rsid w:val="697954E1"/>
    <w:rsid w:val="69A817C6"/>
    <w:rsid w:val="69CA3620"/>
    <w:rsid w:val="69E76D71"/>
    <w:rsid w:val="69F71B66"/>
    <w:rsid w:val="69F77D72"/>
    <w:rsid w:val="6A221D75"/>
    <w:rsid w:val="6A2C415C"/>
    <w:rsid w:val="6A3047DC"/>
    <w:rsid w:val="6A6B525B"/>
    <w:rsid w:val="6A737B3B"/>
    <w:rsid w:val="6A996C7D"/>
    <w:rsid w:val="6AE5406B"/>
    <w:rsid w:val="6B82317C"/>
    <w:rsid w:val="6BD94F58"/>
    <w:rsid w:val="6CEC4C32"/>
    <w:rsid w:val="6D085407"/>
    <w:rsid w:val="6D2A1245"/>
    <w:rsid w:val="6D536C1F"/>
    <w:rsid w:val="6D553C55"/>
    <w:rsid w:val="6D856994"/>
    <w:rsid w:val="6DC25BEF"/>
    <w:rsid w:val="6DD91B2F"/>
    <w:rsid w:val="6E5236DB"/>
    <w:rsid w:val="6EED4C52"/>
    <w:rsid w:val="6F0469EC"/>
    <w:rsid w:val="6F1D7974"/>
    <w:rsid w:val="6F673AE0"/>
    <w:rsid w:val="6F78576E"/>
    <w:rsid w:val="6FA609BC"/>
    <w:rsid w:val="6FB76906"/>
    <w:rsid w:val="6FC94868"/>
    <w:rsid w:val="6FCB50FD"/>
    <w:rsid w:val="70094034"/>
    <w:rsid w:val="700946E4"/>
    <w:rsid w:val="701F7DBF"/>
    <w:rsid w:val="704B4AC8"/>
    <w:rsid w:val="705D6067"/>
    <w:rsid w:val="70920AC0"/>
    <w:rsid w:val="70A80A0A"/>
    <w:rsid w:val="70D63C6A"/>
    <w:rsid w:val="70F829D5"/>
    <w:rsid w:val="712512AC"/>
    <w:rsid w:val="714E2FA2"/>
    <w:rsid w:val="718116C9"/>
    <w:rsid w:val="71897837"/>
    <w:rsid w:val="727D78DC"/>
    <w:rsid w:val="72B5028F"/>
    <w:rsid w:val="72C034DF"/>
    <w:rsid w:val="73966C01"/>
    <w:rsid w:val="73A64271"/>
    <w:rsid w:val="73CB617F"/>
    <w:rsid w:val="73D36613"/>
    <w:rsid w:val="73F76B3E"/>
    <w:rsid w:val="741D2E7E"/>
    <w:rsid w:val="7423209D"/>
    <w:rsid w:val="74252890"/>
    <w:rsid w:val="743D4F76"/>
    <w:rsid w:val="7474619D"/>
    <w:rsid w:val="749968D4"/>
    <w:rsid w:val="74D361B6"/>
    <w:rsid w:val="74E23EF3"/>
    <w:rsid w:val="759B3A01"/>
    <w:rsid w:val="767A1DA3"/>
    <w:rsid w:val="76F31A34"/>
    <w:rsid w:val="771B1173"/>
    <w:rsid w:val="77447AFE"/>
    <w:rsid w:val="775239FD"/>
    <w:rsid w:val="77880AF1"/>
    <w:rsid w:val="77AB633C"/>
    <w:rsid w:val="77C3768C"/>
    <w:rsid w:val="77FD3CEB"/>
    <w:rsid w:val="782D5621"/>
    <w:rsid w:val="786B6F23"/>
    <w:rsid w:val="78901A73"/>
    <w:rsid w:val="78E92AA8"/>
    <w:rsid w:val="79272687"/>
    <w:rsid w:val="79421A9F"/>
    <w:rsid w:val="794E6A5B"/>
    <w:rsid w:val="79713798"/>
    <w:rsid w:val="7B1C1A8F"/>
    <w:rsid w:val="7B664481"/>
    <w:rsid w:val="7B843A31"/>
    <w:rsid w:val="7B97786E"/>
    <w:rsid w:val="7B9E165D"/>
    <w:rsid w:val="7BA2060D"/>
    <w:rsid w:val="7BB103D2"/>
    <w:rsid w:val="7BCF04EA"/>
    <w:rsid w:val="7C2B3A13"/>
    <w:rsid w:val="7C415024"/>
    <w:rsid w:val="7C656DEC"/>
    <w:rsid w:val="7C724375"/>
    <w:rsid w:val="7CCF119F"/>
    <w:rsid w:val="7CEB1320"/>
    <w:rsid w:val="7D3A0B96"/>
    <w:rsid w:val="7D4B6F3F"/>
    <w:rsid w:val="7D775977"/>
    <w:rsid w:val="7DDE2762"/>
    <w:rsid w:val="7DF96965"/>
    <w:rsid w:val="7E294BB3"/>
    <w:rsid w:val="7EB623D8"/>
    <w:rsid w:val="7EE054FE"/>
    <w:rsid w:val="7EEF322C"/>
    <w:rsid w:val="7F034664"/>
    <w:rsid w:val="7F8D3B6E"/>
    <w:rsid w:val="7FDC23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nhideWhenUsed="0" w:uiPriority="0" w:semiHidden="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ocked="1"/>
    <w:lsdException w:uiPriority="0" w:name="toc 2" w:locked="1"/>
    <w:lsdException w:uiPriority="0" w:name="toc 3" w:locked="1"/>
    <w:lsdException w:uiPriority="0" w:name="toc 4" w:locked="1"/>
    <w:lsdException w:uiPriority="0" w:name="toc 5" w:locked="1"/>
    <w:lsdException w:uiPriority="0" w:name="toc 6" w:locked="1"/>
    <w:lsdException w:uiPriority="0" w:name="toc 7" w:locked="1"/>
    <w:lsdException w:uiPriority="0" w:name="toc 8" w:locked="1"/>
    <w:lsdException w:uiPriority="0" w:name="toc 9" w:locked="1"/>
    <w:lsdException w:qFormat="1" w:unhideWhenUsed="0" w:uiPriority="99" w:semiHidden="0" w:name="Normal Indent"/>
    <w:lsdException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nhideWhenUsed="0" w:uiPriority="99" w:semiHidden="0" w:name="caption" w:locked="1"/>
    <w:lsdException w:uiPriority="0" w:name="table of figures"/>
    <w:lsdException w:uiPriority="0" w:name="envelope address"/>
    <w:lsdException w:uiPriority="0" w:name="envelope return"/>
    <w:lsdException w:uiPriority="0" w:name="footnote reference"/>
    <w:lsdException w:qFormat="1" w:unhideWhenUsed="0" w:uiPriority="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qFormat="1" w:unhideWhenUsed="0" w:uiPriority="0" w:semiHidden="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ocked="1"/>
    <w:lsdException w:uiPriority="0" w:name="Closing"/>
    <w:lsdException w:uiPriority="0" w:name="Signature"/>
    <w:lsdException w:qFormat="1" w:uiPriority="1" w:name="Default Paragraph Font"/>
    <w:lsdException w:qFormat="1" w:unhideWhenUsed="0" w:uiPriority="99"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ocked="1"/>
    <w:lsdException w:unhideWhenUsed="0" w:uiPriority="0" w:semiHidden="0" w:name="Salutation"/>
    <w:lsdException w:qFormat="1" w:unhideWhenUsed="0" w:uiPriority="0" w:semiHidden="0" w:name="Date"/>
    <w:lsdException w:unhideWhenUsed="0" w:uiPriority="0" w:semiHidden="0" w:name="Body Text First Indent"/>
    <w:lsdException w:qFormat="1" w:uiPriority="0" w:semiHidden="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name="Hyperlink"/>
    <w:lsdException w:uiPriority="0" w:name="FollowedHyperlink"/>
    <w:lsdException w:qFormat="1" w:unhideWhenUsed="0" w:uiPriority="0" w:semiHidden="0" w:name="Strong" w:locked="1"/>
    <w:lsdException w:qFormat="1" w:unhideWhenUsed="0" w:uiPriority="0" w:semiHidden="0" w:name="Emphasis" w:locked="1"/>
    <w:lsdException w:uiPriority="0" w:name="Document Map"/>
    <w:lsdException w:qFormat="1" w:unhideWhenUsed="0"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qFormat="1" w:unhideWhenUsed="0"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ocked="1"/>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qFormat/>
    <w:locked/>
    <w:uiPriority w:val="0"/>
    <w:pPr>
      <w:keepNext/>
      <w:spacing w:line="360" w:lineRule="auto"/>
      <w:jc w:val="center"/>
      <w:outlineLvl w:val="0"/>
    </w:pPr>
    <w:rPr>
      <w:b/>
      <w:kern w:val="0"/>
      <w:sz w:val="36"/>
      <w:szCs w:val="20"/>
    </w:rPr>
  </w:style>
  <w:style w:type="paragraph" w:styleId="4">
    <w:name w:val="heading 2"/>
    <w:basedOn w:val="1"/>
    <w:next w:val="1"/>
    <w:qFormat/>
    <w:locked/>
    <w:uiPriority w:val="0"/>
    <w:pPr>
      <w:keepNext/>
      <w:spacing w:before="50" w:beforeLines="50" w:after="50" w:afterLines="50" w:line="480" w:lineRule="auto"/>
      <w:jc w:val="left"/>
      <w:outlineLvl w:val="1"/>
    </w:pPr>
    <w:rPr>
      <w:rFonts w:ascii="Times New Roman" w:hAnsi="Times New Roman" w:eastAsia="宋体"/>
      <w:b/>
      <w:sz w:val="30"/>
      <w:szCs w:val="21"/>
    </w:rPr>
  </w:style>
  <w:style w:type="character" w:default="1" w:styleId="24">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customStyle="1" w:styleId="2">
    <w:name w:val="Default"/>
    <w:unhideWhenUsed/>
    <w:qFormat/>
    <w:uiPriority w:val="0"/>
    <w:pPr>
      <w:widowControl w:val="0"/>
      <w:autoSpaceDE w:val="0"/>
      <w:autoSpaceDN w:val="0"/>
      <w:adjustRightInd w:val="0"/>
    </w:pPr>
    <w:rPr>
      <w:rFonts w:hint="eastAsia" w:ascii="宋体" w:hAnsi="宋体" w:eastAsia="宋体" w:cs="Times New Roman"/>
      <w:color w:val="000000"/>
      <w:sz w:val="24"/>
      <w:szCs w:val="22"/>
      <w:lang w:val="en-US" w:eastAsia="zh-CN" w:bidi="ar-SA"/>
    </w:rPr>
  </w:style>
  <w:style w:type="paragraph" w:styleId="5">
    <w:name w:val="Normal Indent"/>
    <w:basedOn w:val="1"/>
    <w:link w:val="39"/>
    <w:qFormat/>
    <w:uiPriority w:val="99"/>
    <w:pPr>
      <w:spacing w:line="360" w:lineRule="auto"/>
      <w:ind w:firstLine="200" w:firstLineChars="200"/>
    </w:pPr>
    <w:rPr>
      <w:sz w:val="28"/>
    </w:rPr>
  </w:style>
  <w:style w:type="paragraph" w:styleId="6">
    <w:name w:val="caption"/>
    <w:basedOn w:val="1"/>
    <w:next w:val="1"/>
    <w:qFormat/>
    <w:locked/>
    <w:uiPriority w:val="99"/>
    <w:rPr>
      <w:rFonts w:ascii="Cambria" w:hAnsi="Cambria" w:eastAsia="黑体" w:cs="Cambria"/>
      <w:sz w:val="20"/>
    </w:rPr>
  </w:style>
  <w:style w:type="paragraph" w:styleId="7">
    <w:name w:val="toa heading"/>
    <w:basedOn w:val="1"/>
    <w:next w:val="1"/>
    <w:qFormat/>
    <w:uiPriority w:val="0"/>
    <w:pPr>
      <w:widowControl w:val="0"/>
      <w:spacing w:before="120" w:beforeLines="0" w:beforeAutospacing="0" w:line="360" w:lineRule="auto"/>
      <w:ind w:firstLine="643" w:firstLineChars="200"/>
      <w:jc w:val="left"/>
    </w:pPr>
    <w:rPr>
      <w:rFonts w:ascii="Arial" w:hAnsi="Arial" w:eastAsia="宋体" w:cs="Times New Roman"/>
      <w:kern w:val="2"/>
      <w:sz w:val="24"/>
      <w:szCs w:val="24"/>
      <w:lang w:val="en-US" w:eastAsia="zh-CN" w:bidi="ar-SA"/>
    </w:rPr>
  </w:style>
  <w:style w:type="paragraph" w:styleId="8">
    <w:name w:val="annotation text"/>
    <w:basedOn w:val="1"/>
    <w:link w:val="40"/>
    <w:semiHidden/>
    <w:qFormat/>
    <w:uiPriority w:val="0"/>
    <w:pPr>
      <w:jc w:val="left"/>
    </w:pPr>
  </w:style>
  <w:style w:type="paragraph" w:styleId="9">
    <w:name w:val="Body Text"/>
    <w:basedOn w:val="1"/>
    <w:link w:val="44"/>
    <w:qFormat/>
    <w:uiPriority w:val="99"/>
    <w:pPr>
      <w:widowControl/>
      <w:spacing w:line="357" w:lineRule="atLeast"/>
      <w:jc w:val="center"/>
      <w:textAlignment w:val="baseline"/>
    </w:pPr>
    <w:rPr>
      <w:kern w:val="0"/>
      <w:sz w:val="20"/>
    </w:rPr>
  </w:style>
  <w:style w:type="paragraph" w:styleId="10">
    <w:name w:val="Body Text Indent"/>
    <w:basedOn w:val="1"/>
    <w:next w:val="11"/>
    <w:link w:val="41"/>
    <w:qFormat/>
    <w:uiPriority w:val="0"/>
    <w:pPr>
      <w:spacing w:after="120"/>
      <w:ind w:left="420" w:leftChars="200"/>
    </w:pPr>
    <w:rPr>
      <w:kern w:val="0"/>
      <w:sz w:val="20"/>
    </w:rPr>
  </w:style>
  <w:style w:type="paragraph" w:customStyle="1" w:styleId="11">
    <w:name w:val="样式 正文文本缩进 + 行距: 1.5 倍行距"/>
    <w:basedOn w:val="1"/>
    <w:qFormat/>
    <w:uiPriority w:val="0"/>
    <w:pPr>
      <w:spacing w:after="120" w:line="360" w:lineRule="auto"/>
      <w:ind w:left="90" w:leftChars="32" w:firstLine="560" w:firstLineChars="200"/>
    </w:pPr>
    <w:rPr>
      <w:rFonts w:cs="宋体"/>
    </w:rPr>
  </w:style>
  <w:style w:type="paragraph" w:styleId="12">
    <w:name w:val="Plain Text"/>
    <w:basedOn w:val="1"/>
    <w:link w:val="36"/>
    <w:qFormat/>
    <w:uiPriority w:val="0"/>
    <w:rPr>
      <w:rFonts w:ascii="宋体" w:hAnsi="Courier New"/>
      <w:kern w:val="0"/>
      <w:szCs w:val="21"/>
    </w:rPr>
  </w:style>
  <w:style w:type="paragraph" w:styleId="13">
    <w:name w:val="Date"/>
    <w:basedOn w:val="1"/>
    <w:next w:val="1"/>
    <w:link w:val="30"/>
    <w:qFormat/>
    <w:uiPriority w:val="0"/>
    <w:pPr>
      <w:ind w:left="100" w:leftChars="2500"/>
    </w:pPr>
    <w:rPr>
      <w:kern w:val="0"/>
      <w:sz w:val="20"/>
    </w:rPr>
  </w:style>
  <w:style w:type="paragraph" w:styleId="14">
    <w:name w:val="Body Text Indent 2"/>
    <w:basedOn w:val="1"/>
    <w:link w:val="43"/>
    <w:qFormat/>
    <w:uiPriority w:val="0"/>
    <w:pPr>
      <w:spacing w:after="120" w:line="480" w:lineRule="auto"/>
      <w:ind w:left="420" w:leftChars="200"/>
    </w:pPr>
  </w:style>
  <w:style w:type="paragraph" w:styleId="15">
    <w:name w:val="Balloon Text"/>
    <w:basedOn w:val="1"/>
    <w:link w:val="45"/>
    <w:semiHidden/>
    <w:qFormat/>
    <w:uiPriority w:val="0"/>
    <w:rPr>
      <w:sz w:val="18"/>
      <w:szCs w:val="18"/>
    </w:rPr>
  </w:style>
  <w:style w:type="paragraph" w:styleId="16">
    <w:name w:val="footer"/>
    <w:basedOn w:val="1"/>
    <w:link w:val="31"/>
    <w:qFormat/>
    <w:uiPriority w:val="0"/>
    <w:pPr>
      <w:tabs>
        <w:tab w:val="center" w:pos="4153"/>
        <w:tab w:val="right" w:pos="8306"/>
      </w:tabs>
      <w:snapToGrid w:val="0"/>
      <w:jc w:val="left"/>
    </w:pPr>
    <w:rPr>
      <w:sz w:val="18"/>
      <w:szCs w:val="18"/>
    </w:rPr>
  </w:style>
  <w:style w:type="paragraph" w:styleId="17">
    <w:name w:val="header"/>
    <w:basedOn w:val="1"/>
    <w:link w:val="33"/>
    <w:qFormat/>
    <w:uiPriority w:val="0"/>
    <w:pPr>
      <w:tabs>
        <w:tab w:val="center" w:pos="4153"/>
        <w:tab w:val="right" w:pos="8306"/>
      </w:tabs>
      <w:snapToGrid w:val="0"/>
      <w:jc w:val="right"/>
    </w:pPr>
    <w:rPr>
      <w:kern w:val="0"/>
      <w:szCs w:val="21"/>
    </w:rPr>
  </w:style>
  <w:style w:type="paragraph" w:styleId="18">
    <w:name w:val="HTML Preformatted"/>
    <w:basedOn w:val="1"/>
    <w:link w:val="37"/>
    <w:semiHidden/>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kern w:val="0"/>
      <w:sz w:val="24"/>
      <w:szCs w:val="24"/>
    </w:rPr>
  </w:style>
  <w:style w:type="paragraph" w:styleId="19">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0">
    <w:name w:val="annotation subject"/>
    <w:basedOn w:val="8"/>
    <w:next w:val="8"/>
    <w:link w:val="29"/>
    <w:semiHidden/>
    <w:qFormat/>
    <w:uiPriority w:val="0"/>
    <w:rPr>
      <w:b/>
      <w:bCs/>
    </w:rPr>
  </w:style>
  <w:style w:type="paragraph" w:styleId="21">
    <w:name w:val="Body Text First Indent 2"/>
    <w:basedOn w:val="10"/>
    <w:next w:val="1"/>
    <w:unhideWhenUsed/>
    <w:qFormat/>
    <w:uiPriority w:val="0"/>
    <w:pPr>
      <w:ind w:firstLine="420" w:firstLineChars="200"/>
    </w:pPr>
    <w:rPr>
      <w:lang w:val="en-GB" w:eastAsia="zh-TW"/>
    </w:rPr>
  </w:style>
  <w:style w:type="table" w:styleId="23">
    <w:name w:val="Table Grid"/>
    <w:basedOn w:val="22"/>
    <w:qFormat/>
    <w:locked/>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page number"/>
    <w:basedOn w:val="24"/>
    <w:qFormat/>
    <w:uiPriority w:val="0"/>
  </w:style>
  <w:style w:type="character" w:styleId="26">
    <w:name w:val="Hyperlink"/>
    <w:semiHidden/>
    <w:qFormat/>
    <w:uiPriority w:val="0"/>
    <w:rPr>
      <w:rFonts w:cs="Times New Roman"/>
      <w:color w:val="0000FF"/>
      <w:u w:val="single"/>
    </w:rPr>
  </w:style>
  <w:style w:type="character" w:styleId="27">
    <w:name w:val="annotation reference"/>
    <w:semiHidden/>
    <w:qFormat/>
    <w:uiPriority w:val="0"/>
    <w:rPr>
      <w:rFonts w:cs="Times New Roman"/>
      <w:sz w:val="21"/>
      <w:szCs w:val="21"/>
    </w:rPr>
  </w:style>
  <w:style w:type="paragraph" w:customStyle="1" w:styleId="28">
    <w:name w:val="样式 标题 1一级标题 + 段前: 0.5 行 段后: 0.5 行"/>
    <w:basedOn w:val="3"/>
    <w:qFormat/>
    <w:uiPriority w:val="99"/>
    <w:pPr>
      <w:tabs>
        <w:tab w:val="left" w:pos="425"/>
      </w:tabs>
      <w:snapToGrid w:val="0"/>
      <w:spacing w:before="0" w:after="0" w:line="320" w:lineRule="exact"/>
      <w:jc w:val="center"/>
      <w:outlineLvl w:val="9"/>
    </w:pPr>
    <w:rPr>
      <w:spacing w:val="-6"/>
      <w:kern w:val="0"/>
      <w:sz w:val="21"/>
      <w:szCs w:val="21"/>
    </w:rPr>
  </w:style>
  <w:style w:type="character" w:customStyle="1" w:styleId="29">
    <w:name w:val="批注主题 字符"/>
    <w:link w:val="20"/>
    <w:semiHidden/>
    <w:qFormat/>
    <w:locked/>
    <w:uiPriority w:val="0"/>
    <w:rPr>
      <w:rFonts w:cs="Times New Roman"/>
      <w:b/>
      <w:bCs/>
      <w:kern w:val="2"/>
      <w:sz w:val="21"/>
    </w:rPr>
  </w:style>
  <w:style w:type="character" w:customStyle="1" w:styleId="30">
    <w:name w:val="日期 字符"/>
    <w:link w:val="13"/>
    <w:semiHidden/>
    <w:qFormat/>
    <w:locked/>
    <w:uiPriority w:val="0"/>
    <w:rPr>
      <w:rFonts w:cs="Times New Roman"/>
      <w:sz w:val="20"/>
      <w:szCs w:val="20"/>
    </w:rPr>
  </w:style>
  <w:style w:type="character" w:customStyle="1" w:styleId="31">
    <w:name w:val="页脚 字符"/>
    <w:link w:val="16"/>
    <w:qFormat/>
    <w:locked/>
    <w:uiPriority w:val="0"/>
    <w:rPr>
      <w:rFonts w:cs="Times New Roman"/>
      <w:kern w:val="2"/>
      <w:sz w:val="18"/>
      <w:szCs w:val="18"/>
    </w:rPr>
  </w:style>
  <w:style w:type="character" w:customStyle="1" w:styleId="32">
    <w:name w:val="Font Style198"/>
    <w:qFormat/>
    <w:uiPriority w:val="99"/>
    <w:rPr>
      <w:rFonts w:ascii="Times New Roman" w:hAnsi="Times New Roman" w:cs="Times New Roman"/>
      <w:b/>
      <w:bCs/>
      <w:sz w:val="20"/>
      <w:szCs w:val="20"/>
    </w:rPr>
  </w:style>
  <w:style w:type="character" w:customStyle="1" w:styleId="33">
    <w:name w:val="页眉 字符"/>
    <w:link w:val="17"/>
    <w:qFormat/>
    <w:locked/>
    <w:uiPriority w:val="0"/>
    <w:rPr>
      <w:rFonts w:cs="Times New Roman"/>
      <w:sz w:val="21"/>
      <w:szCs w:val="21"/>
    </w:rPr>
  </w:style>
  <w:style w:type="character" w:customStyle="1" w:styleId="34">
    <w:name w:val="链接"/>
    <w:qFormat/>
    <w:uiPriority w:val="0"/>
    <w:rPr>
      <w:rFonts w:cs="Times New Roman"/>
      <w:color w:val="0000FF"/>
      <w:u w:val="single" w:color="0000FF"/>
    </w:rPr>
  </w:style>
  <w:style w:type="character" w:customStyle="1" w:styleId="35">
    <w:name w:val="Font Style143"/>
    <w:qFormat/>
    <w:uiPriority w:val="99"/>
    <w:rPr>
      <w:rFonts w:ascii="宋体" w:eastAsia="宋体" w:cs="宋体"/>
      <w:spacing w:val="-10"/>
      <w:sz w:val="24"/>
      <w:szCs w:val="24"/>
    </w:rPr>
  </w:style>
  <w:style w:type="character" w:customStyle="1" w:styleId="36">
    <w:name w:val="纯文本 字符"/>
    <w:link w:val="12"/>
    <w:semiHidden/>
    <w:qFormat/>
    <w:locked/>
    <w:uiPriority w:val="0"/>
    <w:rPr>
      <w:rFonts w:ascii="宋体" w:hAnsi="Courier New" w:cs="Courier New"/>
      <w:sz w:val="21"/>
      <w:szCs w:val="21"/>
    </w:rPr>
  </w:style>
  <w:style w:type="character" w:customStyle="1" w:styleId="37">
    <w:name w:val="HTML 预设格式 字符"/>
    <w:link w:val="18"/>
    <w:semiHidden/>
    <w:qFormat/>
    <w:locked/>
    <w:uiPriority w:val="0"/>
    <w:rPr>
      <w:rFonts w:ascii="宋体" w:eastAsia="宋体" w:cs="宋体"/>
      <w:kern w:val="0"/>
      <w:sz w:val="24"/>
      <w:szCs w:val="24"/>
    </w:rPr>
  </w:style>
  <w:style w:type="character" w:customStyle="1" w:styleId="38">
    <w:name w:val="Body Text Indent 2 Char"/>
    <w:semiHidden/>
    <w:qFormat/>
    <w:locked/>
    <w:uiPriority w:val="0"/>
    <w:rPr>
      <w:rFonts w:cs="Times New Roman"/>
      <w:sz w:val="20"/>
      <w:szCs w:val="20"/>
    </w:rPr>
  </w:style>
  <w:style w:type="character" w:customStyle="1" w:styleId="39">
    <w:name w:val="正文缩进 字符"/>
    <w:link w:val="5"/>
    <w:qFormat/>
    <w:uiPriority w:val="0"/>
    <w:rPr>
      <w:kern w:val="2"/>
      <w:sz w:val="28"/>
    </w:rPr>
  </w:style>
  <w:style w:type="character" w:customStyle="1" w:styleId="40">
    <w:name w:val="批注文字 字符"/>
    <w:link w:val="8"/>
    <w:semiHidden/>
    <w:qFormat/>
    <w:locked/>
    <w:uiPriority w:val="0"/>
    <w:rPr>
      <w:rFonts w:cs="Times New Roman"/>
      <w:kern w:val="2"/>
      <w:sz w:val="21"/>
    </w:rPr>
  </w:style>
  <w:style w:type="character" w:customStyle="1" w:styleId="41">
    <w:name w:val="正文文本缩进 字符"/>
    <w:link w:val="10"/>
    <w:qFormat/>
    <w:locked/>
    <w:uiPriority w:val="0"/>
    <w:rPr>
      <w:rFonts w:cs="Times New Roman"/>
      <w:sz w:val="20"/>
      <w:szCs w:val="20"/>
    </w:rPr>
  </w:style>
  <w:style w:type="character" w:customStyle="1" w:styleId="42">
    <w:name w:val="Font Style221"/>
    <w:qFormat/>
    <w:uiPriority w:val="99"/>
    <w:rPr>
      <w:rFonts w:ascii="宋体" w:eastAsia="宋体" w:cs="宋体"/>
      <w:sz w:val="22"/>
      <w:szCs w:val="22"/>
    </w:rPr>
  </w:style>
  <w:style w:type="character" w:customStyle="1" w:styleId="43">
    <w:name w:val="正文文本缩进 2 字符"/>
    <w:link w:val="14"/>
    <w:qFormat/>
    <w:locked/>
    <w:uiPriority w:val="0"/>
    <w:rPr>
      <w:rFonts w:eastAsia="宋体"/>
      <w:kern w:val="2"/>
      <w:sz w:val="21"/>
      <w:lang w:val="en-US" w:eastAsia="zh-CN"/>
    </w:rPr>
  </w:style>
  <w:style w:type="character" w:customStyle="1" w:styleId="44">
    <w:name w:val="正文文本 字符"/>
    <w:link w:val="9"/>
    <w:semiHidden/>
    <w:qFormat/>
    <w:locked/>
    <w:uiPriority w:val="99"/>
    <w:rPr>
      <w:rFonts w:cs="Times New Roman"/>
      <w:sz w:val="20"/>
      <w:szCs w:val="20"/>
    </w:rPr>
  </w:style>
  <w:style w:type="character" w:customStyle="1" w:styleId="45">
    <w:name w:val="批注框文本 字符"/>
    <w:link w:val="15"/>
    <w:semiHidden/>
    <w:qFormat/>
    <w:locked/>
    <w:uiPriority w:val="0"/>
    <w:rPr>
      <w:rFonts w:cs="Times New Roman"/>
      <w:kern w:val="2"/>
      <w:sz w:val="18"/>
      <w:szCs w:val="18"/>
    </w:rPr>
  </w:style>
  <w:style w:type="paragraph" w:customStyle="1" w:styleId="46">
    <w:name w:val="WPS Plain"/>
    <w:qFormat/>
    <w:uiPriority w:val="0"/>
    <w:rPr>
      <w:rFonts w:ascii="Times New Roman" w:hAnsi="Times New Roman" w:eastAsia="宋体" w:cs="Times New Roman"/>
      <w:lang w:val="en-US" w:eastAsia="zh-CN" w:bidi="ar-SA"/>
    </w:rPr>
  </w:style>
  <w:style w:type="paragraph" w:customStyle="1" w:styleId="47">
    <w:name w:val="xl25"/>
    <w:basedOn w:val="1"/>
    <w:qFormat/>
    <w:uiPriority w:val="0"/>
    <w:pPr>
      <w:widowControl/>
      <w:spacing w:before="100" w:beforeAutospacing="1" w:after="100" w:afterAutospacing="1"/>
      <w:jc w:val="center"/>
    </w:pPr>
    <w:rPr>
      <w:rFonts w:ascii="Courier New" w:hAnsi="Courier New" w:cs="Courier New"/>
      <w:kern w:val="0"/>
      <w:sz w:val="24"/>
    </w:rPr>
  </w:style>
  <w:style w:type="paragraph" w:customStyle="1" w:styleId="48">
    <w:name w:val="流程文字"/>
    <w:basedOn w:val="1"/>
    <w:qFormat/>
    <w:uiPriority w:val="0"/>
    <w:pPr>
      <w:tabs>
        <w:tab w:val="left" w:pos="6480"/>
      </w:tabs>
      <w:topLinePunct/>
      <w:adjustRightInd w:val="0"/>
      <w:snapToGrid w:val="0"/>
      <w:jc w:val="center"/>
    </w:pPr>
    <w:rPr>
      <w:rFonts w:eastAsia="仿宋_GB2312"/>
    </w:rPr>
  </w:style>
  <w:style w:type="paragraph" w:customStyle="1" w:styleId="49">
    <w:name w:val="列出段落1"/>
    <w:basedOn w:val="1"/>
    <w:qFormat/>
    <w:uiPriority w:val="0"/>
    <w:pPr>
      <w:ind w:firstLine="420" w:firstLineChars="200"/>
    </w:pPr>
  </w:style>
  <w:style w:type="paragraph" w:customStyle="1" w:styleId="50">
    <w:name w:val="Style42"/>
    <w:basedOn w:val="1"/>
    <w:qFormat/>
    <w:uiPriority w:val="99"/>
    <w:pPr>
      <w:adjustRightInd w:val="0"/>
      <w:jc w:val="right"/>
    </w:pPr>
    <w:rPr>
      <w:rFonts w:hAnsi="Calibri"/>
      <w:kern w:val="0"/>
    </w:rPr>
  </w:style>
  <w:style w:type="paragraph" w:customStyle="1" w:styleId="51">
    <w:name w:val="Style21"/>
    <w:basedOn w:val="1"/>
    <w:qFormat/>
    <w:uiPriority w:val="99"/>
    <w:pPr>
      <w:adjustRightInd w:val="0"/>
      <w:spacing w:line="467" w:lineRule="exact"/>
    </w:pPr>
    <w:rPr>
      <w:rFonts w:hAnsi="Calibri"/>
      <w:kern w:val="0"/>
    </w:rPr>
  </w:style>
  <w:style w:type="paragraph" w:customStyle="1" w:styleId="52">
    <w:name w:val="Style18"/>
    <w:basedOn w:val="1"/>
    <w:qFormat/>
    <w:uiPriority w:val="99"/>
    <w:pPr>
      <w:adjustRightInd w:val="0"/>
      <w:spacing w:line="467" w:lineRule="exact"/>
      <w:ind w:firstLine="480"/>
    </w:pPr>
    <w:rPr>
      <w:rFonts w:hAnsi="Calibri"/>
      <w:kern w:val="0"/>
    </w:rPr>
  </w:style>
  <w:style w:type="paragraph" w:customStyle="1" w:styleId="53">
    <w:name w:val="李发荣个人正文"/>
    <w:basedOn w:val="1"/>
    <w:next w:val="1"/>
    <w:qFormat/>
    <w:uiPriority w:val="0"/>
    <w:pPr>
      <w:spacing w:line="360" w:lineRule="auto"/>
      <w:ind w:firstLine="504" w:firstLineChars="200"/>
    </w:pPr>
    <w:rPr>
      <w:rFonts w:ascii="宋体" w:hAnsi="宋体" w:cs="宋体"/>
      <w:kern w:val="0"/>
      <w:sz w:val="24"/>
      <w:szCs w:val="24"/>
    </w:rPr>
  </w:style>
  <w:style w:type="paragraph" w:customStyle="1" w:styleId="54">
    <w:name w:val="样式 样式 样式 样式 小四 左 首行缩进:  2 字符 + 首行缩进:  2 字符 Char + 右  0 字符1 + 首行缩...3"/>
    <w:basedOn w:val="1"/>
    <w:qFormat/>
    <w:uiPriority w:val="0"/>
    <w:pPr>
      <w:adjustRightInd w:val="0"/>
      <w:spacing w:line="360" w:lineRule="auto"/>
      <w:ind w:firstLine="480" w:firstLineChars="200"/>
      <w:jc w:val="left"/>
      <w:textAlignment w:val="baseline"/>
    </w:pPr>
    <w:rPr>
      <w:rFonts w:cs="宋体"/>
      <w:sz w:val="24"/>
    </w:rPr>
  </w:style>
  <w:style w:type="paragraph" w:customStyle="1" w:styleId="55">
    <w:name w:val="陈光的正文"/>
    <w:basedOn w:val="1"/>
    <w:qFormat/>
    <w:uiPriority w:val="0"/>
    <w:pPr>
      <w:adjustRightInd w:val="0"/>
      <w:snapToGrid w:val="0"/>
      <w:spacing w:beforeLines="10" w:afterLines="10" w:line="360" w:lineRule="auto"/>
      <w:ind w:firstLine="560" w:firstLineChars="200"/>
    </w:pPr>
    <w:rPr>
      <w:sz w:val="28"/>
    </w:rPr>
  </w:style>
  <w:style w:type="paragraph" w:customStyle="1" w:styleId="56">
    <w:name w:val="默认段落字体 Para Char Char Char Char"/>
    <w:basedOn w:val="1"/>
    <w:qFormat/>
    <w:uiPriority w:val="0"/>
    <w:rPr>
      <w:szCs w:val="24"/>
    </w:rPr>
  </w:style>
  <w:style w:type="paragraph" w:customStyle="1" w:styleId="57">
    <w:name w:val="报告书表格"/>
    <w:basedOn w:val="1"/>
    <w:qFormat/>
    <w:uiPriority w:val="0"/>
    <w:pPr>
      <w:adjustRightInd w:val="0"/>
      <w:spacing w:before="60" w:after="60" w:line="240" w:lineRule="atLeast"/>
      <w:jc w:val="center"/>
      <w:textAlignment w:val="baseline"/>
    </w:pPr>
    <w:rPr>
      <w:kern w:val="0"/>
    </w:rPr>
  </w:style>
  <w:style w:type="paragraph" w:customStyle="1" w:styleId="58">
    <w:name w:val="li_正文"/>
    <w:basedOn w:val="1"/>
    <w:qFormat/>
    <w:uiPriority w:val="0"/>
    <w:pPr>
      <w:ind w:firstLine="200" w:firstLineChars="200"/>
      <w:jc w:val="left"/>
    </w:pPr>
    <w:rPr>
      <w:kern w:val="0"/>
      <w:sz w:val="28"/>
      <w:szCs w:val="28"/>
    </w:rPr>
  </w:style>
  <w:style w:type="paragraph" w:customStyle="1" w:styleId="59">
    <w:name w:val="列出段落2"/>
    <w:basedOn w:val="1"/>
    <w:qFormat/>
    <w:uiPriority w:val="99"/>
    <w:pPr>
      <w:ind w:firstLine="420" w:firstLineChars="200"/>
    </w:pPr>
  </w:style>
  <w:style w:type="paragraph" w:customStyle="1" w:styleId="60">
    <w:name w:val="普通(网站)1"/>
    <w:basedOn w:val="1"/>
    <w:qFormat/>
    <w:uiPriority w:val="0"/>
    <w:pPr>
      <w:spacing w:before="100" w:beforeAutospacing="1" w:after="100" w:afterAutospacing="1"/>
    </w:pPr>
    <w:rPr>
      <w:rFonts w:ascii="宋体" w:hAnsi="宋体" w:cs="宋体"/>
      <w:sz w:val="24"/>
      <w:szCs w:val="24"/>
    </w:rPr>
  </w:style>
  <w:style w:type="paragraph" w:customStyle="1" w:styleId="61">
    <w:name w:val="HP正文"/>
    <w:basedOn w:val="1"/>
    <w:qFormat/>
    <w:uiPriority w:val="0"/>
    <w:pPr>
      <w:spacing w:line="360" w:lineRule="auto"/>
      <w:ind w:firstLine="480" w:firstLineChars="200"/>
    </w:pPr>
    <w:rPr>
      <w:kern w:val="0"/>
      <w:sz w:val="24"/>
    </w:rPr>
  </w:style>
  <w:style w:type="paragraph" w:customStyle="1" w:styleId="62">
    <w:name w:val="1、大表格内"/>
    <w:basedOn w:val="1"/>
    <w:qFormat/>
    <w:uiPriority w:val="0"/>
    <w:pPr>
      <w:keepNext/>
      <w:keepLines/>
      <w:autoSpaceDE w:val="0"/>
      <w:autoSpaceDN w:val="0"/>
      <w:adjustRightInd w:val="0"/>
      <w:spacing w:line="360" w:lineRule="auto"/>
      <w:ind w:firstLine="480" w:firstLineChars="200"/>
      <w:textAlignment w:val="bottom"/>
    </w:pPr>
    <w:rPr>
      <w:kern w:val="0"/>
      <w:sz w:val="24"/>
    </w:rPr>
  </w:style>
  <w:style w:type="table" w:customStyle="1" w:styleId="63">
    <w:name w:val="浅色底纹1"/>
    <w:qFormat/>
    <w:uiPriority w:val="0"/>
    <w:rPr>
      <w:color w:val="000000"/>
    </w:rPr>
    <w:tblPr>
      <w:tblBorders>
        <w:top w:val="single" w:color="000000" w:sz="8" w:space="0"/>
        <w:bottom w:val="single" w:color="000000" w:sz="8" w:space="0"/>
      </w:tblBorders>
      <w:tblCellMar>
        <w:top w:w="0" w:type="dxa"/>
        <w:left w:w="108" w:type="dxa"/>
        <w:bottom w:w="0" w:type="dxa"/>
        <w:right w:w="108" w:type="dxa"/>
      </w:tblCellMar>
    </w:tblPr>
  </w:style>
  <w:style w:type="character" w:customStyle="1" w:styleId="64">
    <w:name w:val="fontstyle01"/>
    <w:qFormat/>
    <w:uiPriority w:val="0"/>
    <w:rPr>
      <w:rFonts w:hint="eastAsia" w:ascii="宋体" w:hAnsi="宋体" w:eastAsia="宋体"/>
      <w:color w:val="000000"/>
      <w:sz w:val="24"/>
      <w:szCs w:val="24"/>
    </w:rPr>
  </w:style>
  <w:style w:type="paragraph" w:customStyle="1" w:styleId="65">
    <w:name w:val="标准"/>
    <w:basedOn w:val="1"/>
    <w:qFormat/>
    <w:uiPriority w:val="0"/>
    <w:pPr>
      <w:adjustRightInd w:val="0"/>
      <w:spacing w:line="312" w:lineRule="atLeast"/>
      <w:jc w:val="center"/>
      <w:textAlignment w:val="baseline"/>
    </w:pPr>
    <w:rPr>
      <w:kern w:val="0"/>
    </w:rPr>
  </w:style>
  <w:style w:type="character" w:customStyle="1" w:styleId="66">
    <w:name w:val="15"/>
    <w:qFormat/>
    <w:uiPriority w:val="0"/>
    <w:rPr>
      <w:rFonts w:hint="eastAsia" w:ascii="宋体" w:hAnsi="宋体" w:eastAsia="宋体"/>
      <w:color w:val="000000"/>
      <w:sz w:val="24"/>
      <w:szCs w:val="24"/>
    </w:rPr>
  </w:style>
  <w:style w:type="paragraph" w:customStyle="1" w:styleId="67">
    <w:name w:val="正文首行缩进 21"/>
    <w:basedOn w:val="10"/>
    <w:next w:val="1"/>
    <w:semiHidden/>
    <w:qFormat/>
    <w:uiPriority w:val="0"/>
    <w:pPr>
      <w:spacing w:before="100" w:beforeAutospacing="1"/>
      <w:ind w:firstLine="420" w:firstLineChars="200"/>
    </w:pPr>
  </w:style>
  <w:style w:type="paragraph" w:styleId="68">
    <w:name w:val="List Paragraph"/>
    <w:basedOn w:val="1"/>
    <w:qFormat/>
    <w:uiPriority w:val="99"/>
    <w:pPr>
      <w:ind w:firstLine="420" w:firstLineChars="200"/>
    </w:pPr>
  </w:style>
  <w:style w:type="paragraph" w:customStyle="1" w:styleId="69">
    <w:name w:val="Table Paragraph"/>
    <w:basedOn w:val="1"/>
    <w:qFormat/>
    <w:uiPriority w:val="1"/>
    <w:rPr>
      <w:rFonts w:ascii="宋体" w:hAnsi="宋体" w:eastAsia="宋体" w:cs="宋体"/>
      <w:lang w:val="zh-CN" w:eastAsia="zh-CN" w:bidi="zh-CN"/>
    </w:rPr>
  </w:style>
  <w:style w:type="paragraph" w:customStyle="1" w:styleId="70">
    <w:name w:val="正文文本 (2)"/>
    <w:basedOn w:val="1"/>
    <w:qFormat/>
    <w:uiPriority w:val="0"/>
    <w:pPr>
      <w:widowControl w:val="0"/>
      <w:shd w:val="clear" w:color="auto" w:fill="FFFFFF"/>
      <w:spacing w:line="360" w:lineRule="exact"/>
    </w:pPr>
    <w:rPr>
      <w:rFonts w:ascii="MingLiU" w:hAnsi="MingLiU" w:eastAsia="MingLiU" w:cs="MingLiU"/>
      <w:sz w:val="21"/>
      <w:szCs w:val="21"/>
      <w:u w:val="none"/>
    </w:rPr>
  </w:style>
  <w:style w:type="character" w:customStyle="1" w:styleId="71">
    <w:name w:val="正文文本 (2) + 7 pt"/>
    <w:qFormat/>
    <w:uiPriority w:val="0"/>
    <w:rPr>
      <w:rFonts w:ascii="MingLiU" w:hAnsi="MingLiU" w:eastAsia="MingLiU" w:cs="MingLiU"/>
      <w:color w:val="000000"/>
      <w:spacing w:val="0"/>
      <w:w w:val="100"/>
      <w:position w:val="0"/>
      <w:sz w:val="14"/>
      <w:szCs w:val="14"/>
      <w:u w:val="none"/>
      <w:lang w:val="zh-TW" w:eastAsia="zh-TW" w:bidi="zh-TW"/>
    </w:rPr>
  </w:style>
  <w:style w:type="character" w:customStyle="1" w:styleId="72">
    <w:name w:val="fontstyle11"/>
    <w:qFormat/>
    <w:uiPriority w:val="0"/>
    <w:rPr>
      <w:rFonts w:ascii="MicrosoftYaHei" w:hAnsi="MicrosoftYaHei" w:eastAsia="MicrosoftYaHei" w:cs="MicrosoftYaHei"/>
      <w:color w:val="000000"/>
      <w:sz w:val="16"/>
      <w:szCs w:val="16"/>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footer" Target="footer1.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29.jpeg"/><Relationship Id="rId36" Type="http://schemas.openxmlformats.org/officeDocument/2006/relationships/image" Target="media/image28.jpeg"/><Relationship Id="rId35" Type="http://schemas.openxmlformats.org/officeDocument/2006/relationships/image" Target="media/image27.jpeg"/><Relationship Id="rId34" Type="http://schemas.openxmlformats.org/officeDocument/2006/relationships/image" Target="media/image26.jpeg"/><Relationship Id="rId33" Type="http://schemas.openxmlformats.org/officeDocument/2006/relationships/image" Target="media/image25.jpeg"/><Relationship Id="rId32" Type="http://schemas.openxmlformats.org/officeDocument/2006/relationships/image" Target="media/image24.jpeg"/><Relationship Id="rId31" Type="http://schemas.openxmlformats.org/officeDocument/2006/relationships/image" Target="media/image23.jpeg"/><Relationship Id="rId30" Type="http://schemas.openxmlformats.org/officeDocument/2006/relationships/image" Target="media/image22.jpeg"/><Relationship Id="rId3" Type="http://schemas.openxmlformats.org/officeDocument/2006/relationships/header" Target="header1.xml"/><Relationship Id="rId29" Type="http://schemas.openxmlformats.org/officeDocument/2006/relationships/image" Target="media/image21.jpeg"/><Relationship Id="rId28" Type="http://schemas.openxmlformats.org/officeDocument/2006/relationships/image" Target="media/image20.jpeg"/><Relationship Id="rId27" Type="http://schemas.openxmlformats.org/officeDocument/2006/relationships/image" Target="media/image19.jpeg"/><Relationship Id="rId26" Type="http://schemas.openxmlformats.org/officeDocument/2006/relationships/image" Target="media/image18.jpeg"/><Relationship Id="rId25" Type="http://schemas.openxmlformats.org/officeDocument/2006/relationships/image" Target="media/image17.jpeg"/><Relationship Id="rId24" Type="http://schemas.openxmlformats.org/officeDocument/2006/relationships/image" Target="media/image16.jpeg"/><Relationship Id="rId23" Type="http://schemas.openxmlformats.org/officeDocument/2006/relationships/image" Target="media/image15.jpeg"/><Relationship Id="rId22" Type="http://schemas.openxmlformats.org/officeDocument/2006/relationships/image" Target="media/image14.jpe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jpeg"/><Relationship Id="rId18" Type="http://schemas.openxmlformats.org/officeDocument/2006/relationships/image" Target="media/image10.jpe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jpeg"/><Relationship Id="rId11" Type="http://schemas.openxmlformats.org/officeDocument/2006/relationships/image" Target="media/image3.jpe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Lenovo (Beijing) Limited</Company>
  <Pages>58</Pages>
  <Words>2052</Words>
  <Characters>2287</Characters>
  <Lines>93</Lines>
  <Paragraphs>26</Paragraphs>
  <TotalTime>2</TotalTime>
  <ScaleCrop>false</ScaleCrop>
  <LinksUpToDate>false</LinksUpToDate>
  <CharactersWithSpaces>2318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2023-11-27T12:31:00Z</dcterms:created>
  <dc:creator>Lenovo User</dc:creator>
  <cp:lastModifiedBy>Administrator</cp:lastModifiedBy>
  <cp:lastPrinted>2019-08-10T00:47:00Z</cp:lastPrinted>
  <dcterms:modified xsi:type="dcterms:W3CDTF">2024-12-15T12:39:15Z</dcterms:modified>
  <dc:title>建设项目竣工环境保护</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DDE5644CC4874A85BBD7C79F794B2001</vt:lpwstr>
  </property>
</Properties>
</file>